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A37" w:rsidRDefault="00E72A37" w:rsidP="00E72A37">
      <w:pPr>
        <w:pStyle w:val="a3"/>
        <w:spacing w:line="432" w:lineRule="auto"/>
        <w:rPr>
          <w:rFonts w:ascii="Arial" w:hAnsi="Arial" w:cs="Arial" w:hint="eastAsia"/>
        </w:rPr>
      </w:pPr>
      <w:r>
        <w:rPr>
          <w:rFonts w:ascii="Arial" w:hAnsi="Arial" w:cs="Arial"/>
          <w:b/>
          <w:bCs/>
          <w:color w:val="185895"/>
          <w:sz w:val="36"/>
          <w:szCs w:val="36"/>
        </w:rPr>
        <w:t>科技部</w:t>
      </w:r>
      <w:r>
        <w:rPr>
          <w:rFonts w:ascii="Arial" w:hAnsi="Arial" w:cs="Arial"/>
          <w:b/>
          <w:bCs/>
          <w:color w:val="185895"/>
          <w:sz w:val="36"/>
          <w:szCs w:val="36"/>
        </w:rPr>
        <w:t xml:space="preserve"> </w:t>
      </w:r>
      <w:r>
        <w:rPr>
          <w:rFonts w:ascii="Arial" w:hAnsi="Arial" w:cs="Arial"/>
          <w:b/>
          <w:bCs/>
          <w:color w:val="185895"/>
          <w:sz w:val="36"/>
          <w:szCs w:val="36"/>
        </w:rPr>
        <w:t>财政部关于进一步优化国家重点研发计划项目和资金管理的通知</w:t>
      </w:r>
    </w:p>
    <w:p w:rsidR="00E72A37" w:rsidRDefault="00E72A37" w:rsidP="00E72A37">
      <w:pPr>
        <w:pStyle w:val="a3"/>
        <w:spacing w:line="432" w:lineRule="auto"/>
        <w:jc w:val="center"/>
        <w:rPr>
          <w:rFonts w:ascii="Arial" w:hAnsi="Arial" w:cs="Arial"/>
        </w:rPr>
      </w:pPr>
      <w:r>
        <w:rPr>
          <w:rFonts w:ascii="Arial" w:hAnsi="Arial" w:cs="Arial"/>
        </w:rPr>
        <w:t>国</w:t>
      </w:r>
      <w:proofErr w:type="gramStart"/>
      <w:r>
        <w:rPr>
          <w:rFonts w:ascii="Arial" w:hAnsi="Arial" w:cs="Arial"/>
        </w:rPr>
        <w:t>科发资〔</w:t>
      </w:r>
      <w:r>
        <w:rPr>
          <w:rFonts w:ascii="Arial" w:hAnsi="Arial" w:cs="Arial"/>
        </w:rPr>
        <w:t>2019</w:t>
      </w:r>
      <w:r>
        <w:rPr>
          <w:rFonts w:ascii="Arial" w:hAnsi="Arial" w:cs="Arial"/>
        </w:rPr>
        <w:t>〕</w:t>
      </w:r>
      <w:proofErr w:type="gramEnd"/>
      <w:r>
        <w:rPr>
          <w:rFonts w:ascii="Arial" w:hAnsi="Arial" w:cs="Arial"/>
        </w:rPr>
        <w:t>45</w:t>
      </w:r>
      <w:r>
        <w:rPr>
          <w:rFonts w:ascii="Arial" w:hAnsi="Arial" w:cs="Arial"/>
        </w:rPr>
        <w:t>号</w:t>
      </w:r>
    </w:p>
    <w:p w:rsidR="00E72A37" w:rsidRDefault="00E72A37" w:rsidP="00E72A37">
      <w:pPr>
        <w:pStyle w:val="a3"/>
        <w:spacing w:line="432" w:lineRule="auto"/>
        <w:rPr>
          <w:rFonts w:ascii="Arial" w:hAnsi="Arial" w:cs="Arial"/>
        </w:rPr>
      </w:pPr>
      <w:bookmarkStart w:id="0" w:name="_GoBack"/>
      <w:bookmarkEnd w:id="0"/>
      <w:r>
        <w:rPr>
          <w:rFonts w:ascii="Arial" w:hAnsi="Arial" w:cs="Arial"/>
        </w:rPr>
        <w:t>各有关单位：</w:t>
      </w:r>
    </w:p>
    <w:p w:rsidR="00E72A37" w:rsidRDefault="00E72A37" w:rsidP="00E72A37">
      <w:pPr>
        <w:pStyle w:val="a3"/>
        <w:spacing w:line="432" w:lineRule="auto"/>
        <w:rPr>
          <w:rFonts w:ascii="Arial" w:hAnsi="Arial" w:cs="Arial"/>
        </w:rPr>
      </w:pPr>
      <w:r>
        <w:rPr>
          <w:rFonts w:ascii="Arial" w:hAnsi="Arial" w:cs="Arial"/>
        </w:rPr>
        <w:t xml:space="preserve">　　为贯彻落</w:t>
      </w:r>
      <w:proofErr w:type="gramStart"/>
      <w:r>
        <w:rPr>
          <w:rFonts w:ascii="Arial" w:hAnsi="Arial" w:cs="Arial"/>
        </w:rPr>
        <w:t>实习近</w:t>
      </w:r>
      <w:proofErr w:type="gramEnd"/>
      <w:r>
        <w:rPr>
          <w:rFonts w:ascii="Arial" w:hAnsi="Arial" w:cs="Arial"/>
        </w:rPr>
        <w:t>平总书记在两院院士大会上的重要讲话精神和《国务院关于优化科研管理提升科研绩效若干措施的通知》（国发〔</w:t>
      </w:r>
      <w:r>
        <w:rPr>
          <w:rFonts w:ascii="Arial" w:hAnsi="Arial" w:cs="Arial"/>
        </w:rPr>
        <w:t>2018</w:t>
      </w:r>
      <w:r>
        <w:rPr>
          <w:rFonts w:ascii="Arial" w:hAnsi="Arial" w:cs="Arial"/>
        </w:rPr>
        <w:t>〕</w:t>
      </w:r>
      <w:r>
        <w:rPr>
          <w:rFonts w:ascii="Arial" w:hAnsi="Arial" w:cs="Arial"/>
        </w:rPr>
        <w:t>25</w:t>
      </w:r>
      <w:r>
        <w:rPr>
          <w:rFonts w:ascii="Arial" w:hAnsi="Arial" w:cs="Arial"/>
        </w:rPr>
        <w:t>号）、《中共中央办公厅、国务院办公厅关于进一步加强科研诚信建设的若干意见》《国务院办公厅关于抓好赋予科研机构和人员更大自主权有关文件贯彻落实工作的通知》（国办发〔</w:t>
      </w:r>
      <w:r>
        <w:rPr>
          <w:rFonts w:ascii="Arial" w:hAnsi="Arial" w:cs="Arial"/>
        </w:rPr>
        <w:t>2018</w:t>
      </w:r>
      <w:r>
        <w:rPr>
          <w:rFonts w:ascii="Arial" w:hAnsi="Arial" w:cs="Arial"/>
        </w:rPr>
        <w:t>〕</w:t>
      </w:r>
      <w:r>
        <w:rPr>
          <w:rFonts w:ascii="Arial" w:hAnsi="Arial" w:cs="Arial"/>
        </w:rPr>
        <w:t>127</w:t>
      </w:r>
      <w:r>
        <w:rPr>
          <w:rFonts w:ascii="Arial" w:hAnsi="Arial" w:cs="Arial"/>
        </w:rPr>
        <w:t>号）的要求，充分激发科研人员创新活力，切实减轻科研人员负担，现就国家重点研发计划组织实施有关问题补充通知如下。</w:t>
      </w:r>
    </w:p>
    <w:p w:rsidR="00E72A37" w:rsidRDefault="00E72A37" w:rsidP="00E72A37">
      <w:pPr>
        <w:pStyle w:val="a3"/>
        <w:spacing w:line="432" w:lineRule="auto"/>
        <w:rPr>
          <w:rFonts w:ascii="Arial" w:hAnsi="Arial" w:cs="Arial"/>
        </w:rPr>
      </w:pPr>
      <w:r>
        <w:rPr>
          <w:rFonts w:ascii="Arial" w:hAnsi="Arial" w:cs="Arial"/>
        </w:rPr>
        <w:t xml:space="preserve">　　</w:t>
      </w:r>
      <w:r>
        <w:rPr>
          <w:rStyle w:val="a4"/>
          <w:rFonts w:ascii="Arial" w:hAnsi="Arial" w:cs="Arial"/>
        </w:rPr>
        <w:t>1.</w:t>
      </w:r>
      <w:r>
        <w:rPr>
          <w:rStyle w:val="a4"/>
          <w:rFonts w:ascii="Arial" w:hAnsi="Arial" w:cs="Arial"/>
        </w:rPr>
        <w:t>整合精简各类报表。</w:t>
      </w:r>
      <w:r>
        <w:rPr>
          <w:rFonts w:ascii="Arial" w:hAnsi="Arial" w:cs="Arial"/>
        </w:rPr>
        <w:t>系统梳理项目申报、立项、过程管理和综合绩效评价等环节，优化管理流程，整合项目申报书、任务书、年度报告、中期报告、综合绩效自评价报告等材料中的各类报表，按照减量不减质、满足管理基本需求的原则，将现有项目层面填报的表格，整合精简为</w:t>
      </w:r>
      <w:r>
        <w:rPr>
          <w:rFonts w:ascii="Arial" w:hAnsi="Arial" w:cs="Arial"/>
        </w:rPr>
        <w:t>6</w:t>
      </w:r>
      <w:r>
        <w:rPr>
          <w:rFonts w:ascii="Arial" w:hAnsi="Arial" w:cs="Arial"/>
        </w:rPr>
        <w:t>张；课题层面填报的表格，整合精简为</w:t>
      </w:r>
      <w:r>
        <w:rPr>
          <w:rFonts w:ascii="Arial" w:hAnsi="Arial" w:cs="Arial"/>
        </w:rPr>
        <w:t>8</w:t>
      </w:r>
      <w:r>
        <w:rPr>
          <w:rFonts w:ascii="Arial" w:hAnsi="Arial" w:cs="Arial"/>
        </w:rPr>
        <w:t>张，实现</w:t>
      </w:r>
      <w:r>
        <w:rPr>
          <w:rFonts w:ascii="Arial" w:hAnsi="Arial" w:cs="Arial"/>
        </w:rPr>
        <w:t>“</w:t>
      </w:r>
      <w:r>
        <w:rPr>
          <w:rFonts w:ascii="Arial" w:hAnsi="Arial" w:cs="Arial"/>
        </w:rPr>
        <w:t>一表多用、一表多能</w:t>
      </w:r>
      <w:r>
        <w:rPr>
          <w:rFonts w:ascii="Arial" w:hAnsi="Arial" w:cs="Arial"/>
        </w:rPr>
        <w:t>”</w:t>
      </w:r>
      <w:r>
        <w:rPr>
          <w:rFonts w:ascii="Arial" w:hAnsi="Arial" w:cs="Arial"/>
        </w:rPr>
        <w:t>。</w:t>
      </w:r>
    </w:p>
    <w:p w:rsidR="00E72A37" w:rsidRDefault="00E72A37" w:rsidP="00E72A37">
      <w:pPr>
        <w:pStyle w:val="a3"/>
        <w:spacing w:line="432" w:lineRule="auto"/>
        <w:rPr>
          <w:rFonts w:ascii="Arial" w:hAnsi="Arial" w:cs="Arial"/>
        </w:rPr>
      </w:pPr>
      <w:r>
        <w:rPr>
          <w:rFonts w:ascii="Arial" w:hAnsi="Arial" w:cs="Arial"/>
        </w:rPr>
        <w:t xml:space="preserve">　　</w:t>
      </w:r>
      <w:r>
        <w:rPr>
          <w:rStyle w:val="a4"/>
          <w:rFonts w:ascii="Arial" w:hAnsi="Arial" w:cs="Arial"/>
        </w:rPr>
        <w:t>2.</w:t>
      </w:r>
      <w:r>
        <w:rPr>
          <w:rStyle w:val="a4"/>
          <w:rFonts w:ascii="Arial" w:hAnsi="Arial" w:cs="Arial"/>
        </w:rPr>
        <w:t>减少信息填报和材料报送。</w:t>
      </w:r>
      <w:r>
        <w:rPr>
          <w:rFonts w:ascii="Arial" w:hAnsi="Arial" w:cs="Arial"/>
        </w:rPr>
        <w:t>从项目申报到综合绩效评价各环节，全面推行信息化方式，通过国家科技管理信息系统填报材料。杜绝科研单位基本信息、科研人员基本信息、项目目标和考核指标等各类信息的重复填报，减少联合申报协议、诚信承诺书等材料的重复报送，实现项目全周期</w:t>
      </w:r>
      <w:r>
        <w:rPr>
          <w:rFonts w:ascii="Arial" w:hAnsi="Arial" w:cs="Arial"/>
        </w:rPr>
        <w:t>“</w:t>
      </w:r>
      <w:r>
        <w:rPr>
          <w:rFonts w:ascii="Arial" w:hAnsi="Arial" w:cs="Arial"/>
        </w:rPr>
        <w:t>信息一次填报、材料一次报送</w:t>
      </w:r>
      <w:r>
        <w:rPr>
          <w:rFonts w:ascii="Arial" w:hAnsi="Arial" w:cs="Arial"/>
        </w:rPr>
        <w:t>”</w:t>
      </w:r>
      <w:r>
        <w:rPr>
          <w:rFonts w:ascii="Arial" w:hAnsi="Arial" w:cs="Arial"/>
        </w:rPr>
        <w:t>。</w:t>
      </w:r>
    </w:p>
    <w:p w:rsidR="00E72A37" w:rsidRDefault="00E72A37" w:rsidP="00E72A37">
      <w:pPr>
        <w:pStyle w:val="a3"/>
        <w:spacing w:line="432" w:lineRule="auto"/>
        <w:rPr>
          <w:rFonts w:ascii="Arial" w:hAnsi="Arial" w:cs="Arial"/>
        </w:rPr>
      </w:pPr>
      <w:r>
        <w:rPr>
          <w:rFonts w:ascii="Arial" w:hAnsi="Arial" w:cs="Arial"/>
        </w:rPr>
        <w:lastRenderedPageBreak/>
        <w:t xml:space="preserve">　　合并年度报告和预算执行报告，不再单独编报年度财务决算报告；减少纸质材料报送，一般情况下，项目牵头单位报送的纸质材料（</w:t>
      </w:r>
      <w:proofErr w:type="gramStart"/>
      <w:r>
        <w:rPr>
          <w:rFonts w:ascii="Arial" w:hAnsi="Arial" w:cs="Arial"/>
        </w:rPr>
        <w:t>除任务</w:t>
      </w:r>
      <w:proofErr w:type="gramEnd"/>
      <w:r>
        <w:rPr>
          <w:rFonts w:ascii="Arial" w:hAnsi="Arial" w:cs="Arial"/>
        </w:rPr>
        <w:t>书外）不超过</w:t>
      </w:r>
      <w:r>
        <w:rPr>
          <w:rFonts w:ascii="Arial" w:hAnsi="Arial" w:cs="Arial"/>
        </w:rPr>
        <w:t>2</w:t>
      </w:r>
      <w:r>
        <w:rPr>
          <w:rFonts w:ascii="Arial" w:hAnsi="Arial" w:cs="Arial"/>
        </w:rPr>
        <w:t>套。除共性要求外，项目管理专业机构不得额外增加半年报、季报等材料和表格报送，切实减轻科研人员负担。</w:t>
      </w:r>
    </w:p>
    <w:p w:rsidR="00E72A37" w:rsidRDefault="00E72A37" w:rsidP="00E72A37">
      <w:pPr>
        <w:pStyle w:val="a3"/>
        <w:spacing w:line="432" w:lineRule="auto"/>
        <w:rPr>
          <w:rFonts w:ascii="Arial" w:hAnsi="Arial" w:cs="Arial"/>
        </w:rPr>
      </w:pPr>
      <w:r>
        <w:rPr>
          <w:rFonts w:ascii="Arial" w:hAnsi="Arial" w:cs="Arial"/>
        </w:rPr>
        <w:t xml:space="preserve">　　</w:t>
      </w:r>
      <w:r>
        <w:rPr>
          <w:rStyle w:val="a4"/>
          <w:rFonts w:ascii="Arial" w:hAnsi="Arial" w:cs="Arial"/>
        </w:rPr>
        <w:t>3.</w:t>
      </w:r>
      <w:r>
        <w:rPr>
          <w:rStyle w:val="a4"/>
          <w:rFonts w:ascii="Arial" w:hAnsi="Arial" w:cs="Arial"/>
        </w:rPr>
        <w:t>精简过程检查。</w:t>
      </w:r>
      <w:r>
        <w:rPr>
          <w:rFonts w:ascii="Arial" w:hAnsi="Arial" w:cs="Arial"/>
        </w:rPr>
        <w:t>按照任务书约定，在关键节点开展里程碑式管理；实施周期三年以下的项目，一般不开展过程检查。项目管理专业机构提前制定年度检查工作方案，相对集中时间开展检查，避免在同</w:t>
      </w:r>
      <w:proofErr w:type="gramStart"/>
      <w:r>
        <w:rPr>
          <w:rFonts w:ascii="Arial" w:hAnsi="Arial" w:cs="Arial"/>
        </w:rPr>
        <w:t>一</w:t>
      </w:r>
      <w:proofErr w:type="gramEnd"/>
      <w:r>
        <w:rPr>
          <w:rFonts w:ascii="Arial" w:hAnsi="Arial" w:cs="Arial"/>
        </w:rPr>
        <w:t>年度对同一项目重复检查、多头检查。同时，注重年度报告等已有信息的分析运用，尽量让科研人员少填报信息。</w:t>
      </w:r>
    </w:p>
    <w:p w:rsidR="00E72A37" w:rsidRDefault="00E72A37" w:rsidP="00E72A37">
      <w:pPr>
        <w:pStyle w:val="a3"/>
        <w:spacing w:line="432" w:lineRule="auto"/>
        <w:rPr>
          <w:rFonts w:ascii="Arial" w:hAnsi="Arial" w:cs="Arial"/>
        </w:rPr>
      </w:pPr>
      <w:r>
        <w:rPr>
          <w:rFonts w:ascii="Arial" w:hAnsi="Arial" w:cs="Arial"/>
        </w:rPr>
        <w:t xml:space="preserve">　　</w:t>
      </w:r>
      <w:r>
        <w:rPr>
          <w:rStyle w:val="a4"/>
          <w:rFonts w:ascii="Arial" w:hAnsi="Arial" w:cs="Arial"/>
        </w:rPr>
        <w:t>4.</w:t>
      </w:r>
      <w:r>
        <w:rPr>
          <w:rStyle w:val="a4"/>
          <w:rFonts w:ascii="Arial" w:hAnsi="Arial" w:cs="Arial"/>
        </w:rPr>
        <w:t>赋予科研人员更大技术路线决策权。</w:t>
      </w:r>
      <w:r>
        <w:rPr>
          <w:rFonts w:ascii="Arial" w:hAnsi="Arial" w:cs="Arial"/>
        </w:rPr>
        <w:t>科研项目申报期间，以科研人员提出的技术路线为主进行论证；科研项目实施期间，科研人员可以在研究方向不变、不降低考核指标的前提下自主调整研究方案和技术路线，由项目牵头单位报项目管理专业机构备案。</w:t>
      </w:r>
    </w:p>
    <w:p w:rsidR="00E72A37" w:rsidRDefault="00E72A37" w:rsidP="00E72A37">
      <w:pPr>
        <w:pStyle w:val="a3"/>
        <w:spacing w:line="432" w:lineRule="auto"/>
        <w:rPr>
          <w:rFonts w:ascii="Arial" w:hAnsi="Arial" w:cs="Arial"/>
        </w:rPr>
      </w:pPr>
      <w:r>
        <w:rPr>
          <w:rFonts w:ascii="Arial" w:hAnsi="Arial" w:cs="Arial"/>
        </w:rPr>
        <w:t xml:space="preserve">　　科研项目负责人可以根据项目需要，在申报期间按规定自主组建科研团队；结合项目进展情况，在实施期间按规定进行相应调整，并在遵守科研人员限项规定及符合诚信要求的前提下自主调整项目骨干、一般参与人员，由项目牵头单位报项目管理专业机构备案。</w:t>
      </w:r>
    </w:p>
    <w:p w:rsidR="00E72A37" w:rsidRDefault="00E72A37" w:rsidP="00E72A37">
      <w:pPr>
        <w:pStyle w:val="a3"/>
        <w:spacing w:line="432" w:lineRule="auto"/>
        <w:rPr>
          <w:rFonts w:ascii="Arial" w:hAnsi="Arial" w:cs="Arial"/>
        </w:rPr>
      </w:pPr>
      <w:r>
        <w:rPr>
          <w:rFonts w:ascii="Arial" w:hAnsi="Arial" w:cs="Arial"/>
        </w:rPr>
        <w:t xml:space="preserve">　　</w:t>
      </w:r>
      <w:r>
        <w:rPr>
          <w:rStyle w:val="a4"/>
          <w:rFonts w:ascii="Arial" w:hAnsi="Arial" w:cs="Arial"/>
        </w:rPr>
        <w:t>5.</w:t>
      </w:r>
      <w:r>
        <w:rPr>
          <w:rStyle w:val="a4"/>
          <w:rFonts w:ascii="Arial" w:hAnsi="Arial" w:cs="Arial"/>
        </w:rPr>
        <w:t>简化预算编制要求。</w:t>
      </w:r>
      <w:r>
        <w:rPr>
          <w:rFonts w:ascii="Arial" w:hAnsi="Arial" w:cs="Arial"/>
        </w:rPr>
        <w:t>根据科研活动规律和特点，进一步完善预算编制。简</w:t>
      </w:r>
      <w:proofErr w:type="gramStart"/>
      <w:r>
        <w:rPr>
          <w:rFonts w:ascii="Arial" w:hAnsi="Arial" w:cs="Arial"/>
        </w:rPr>
        <w:t>化预算</w:t>
      </w:r>
      <w:proofErr w:type="gramEnd"/>
      <w:r>
        <w:rPr>
          <w:rFonts w:ascii="Arial" w:hAnsi="Arial" w:cs="Arial"/>
        </w:rPr>
        <w:t>测算说明和编报表格，除设备费外，其他开支科目无需单独填列明细表格。会议费</w:t>
      </w:r>
      <w:r>
        <w:rPr>
          <w:rFonts w:ascii="Arial" w:hAnsi="Arial" w:cs="Arial"/>
        </w:rPr>
        <w:t>/</w:t>
      </w:r>
      <w:r>
        <w:rPr>
          <w:rFonts w:ascii="Arial" w:hAnsi="Arial" w:cs="Arial"/>
        </w:rPr>
        <w:t>差旅费</w:t>
      </w:r>
      <w:r>
        <w:rPr>
          <w:rFonts w:ascii="Arial" w:hAnsi="Arial" w:cs="Arial"/>
        </w:rPr>
        <w:t>/</w:t>
      </w:r>
      <w:r>
        <w:rPr>
          <w:rFonts w:ascii="Arial" w:hAnsi="Arial" w:cs="Arial"/>
        </w:rPr>
        <w:t>国际合作交流费预算不超过直接费用</w:t>
      </w:r>
      <w:r>
        <w:rPr>
          <w:rFonts w:ascii="Arial" w:hAnsi="Arial" w:cs="Arial"/>
        </w:rPr>
        <w:t>10%</w:t>
      </w:r>
      <w:r>
        <w:rPr>
          <w:rFonts w:ascii="Arial" w:hAnsi="Arial" w:cs="Arial"/>
        </w:rPr>
        <w:t>的，无需提供预算测算依据；超过</w:t>
      </w:r>
      <w:r>
        <w:rPr>
          <w:rFonts w:ascii="Arial" w:hAnsi="Arial" w:cs="Arial"/>
        </w:rPr>
        <w:t>10%</w:t>
      </w:r>
      <w:r>
        <w:rPr>
          <w:rFonts w:ascii="Arial" w:hAnsi="Arial" w:cs="Arial"/>
        </w:rPr>
        <w:t>的，按照会议、差旅、国际合作交流分类提供必要的测算依据，无需对每次会议、差旅做单独的测算和说明。对于纳入</w:t>
      </w:r>
      <w:r>
        <w:rPr>
          <w:rFonts w:ascii="Arial" w:hAnsi="Arial" w:cs="Arial"/>
        </w:rPr>
        <w:t>“</w:t>
      </w:r>
      <w:r>
        <w:rPr>
          <w:rFonts w:ascii="Arial" w:hAnsi="Arial" w:cs="Arial"/>
        </w:rPr>
        <w:t>绿色通道</w:t>
      </w:r>
      <w:r>
        <w:rPr>
          <w:rFonts w:ascii="Arial" w:hAnsi="Arial" w:cs="Arial"/>
        </w:rPr>
        <w:t>”</w:t>
      </w:r>
      <w:r>
        <w:rPr>
          <w:rFonts w:ascii="Arial" w:hAnsi="Arial" w:cs="Arial"/>
        </w:rPr>
        <w:t>改革试点单位的科研项目预算编制要求，按照改革试点相关规定执行。</w:t>
      </w:r>
    </w:p>
    <w:p w:rsidR="00E72A37" w:rsidRDefault="00E72A37" w:rsidP="00E72A37">
      <w:pPr>
        <w:pStyle w:val="a3"/>
        <w:spacing w:line="432" w:lineRule="auto"/>
        <w:rPr>
          <w:rFonts w:ascii="Arial" w:hAnsi="Arial" w:cs="Arial"/>
        </w:rPr>
      </w:pPr>
      <w:r>
        <w:rPr>
          <w:rFonts w:ascii="Arial" w:hAnsi="Arial" w:cs="Arial"/>
        </w:rPr>
        <w:lastRenderedPageBreak/>
        <w:t xml:space="preserve">　　</w:t>
      </w:r>
      <w:r>
        <w:rPr>
          <w:rStyle w:val="a4"/>
          <w:rFonts w:ascii="Arial" w:hAnsi="Arial" w:cs="Arial"/>
        </w:rPr>
        <w:t>6.</w:t>
      </w:r>
      <w:r>
        <w:rPr>
          <w:rStyle w:val="a4"/>
          <w:rFonts w:ascii="Arial" w:hAnsi="Arial" w:cs="Arial"/>
        </w:rPr>
        <w:t>扩大承担单位预算调剂权限。</w:t>
      </w:r>
      <w:r>
        <w:rPr>
          <w:rFonts w:ascii="Arial" w:hAnsi="Arial" w:cs="Arial"/>
        </w:rPr>
        <w:t>直接费用中设备费预算总额一般不予调增，确需调增的应报项目管理专业机构审批；设备费预算总额调减、设备</w:t>
      </w:r>
      <w:proofErr w:type="gramStart"/>
      <w:r>
        <w:rPr>
          <w:rFonts w:ascii="Arial" w:hAnsi="Arial" w:cs="Arial"/>
        </w:rPr>
        <w:t>费内部</w:t>
      </w:r>
      <w:proofErr w:type="gramEnd"/>
      <w:r>
        <w:rPr>
          <w:rFonts w:ascii="Arial" w:hAnsi="Arial" w:cs="Arial"/>
        </w:rPr>
        <w:t>预算结构调整、拟购置设备的明细发生变化，以及其他科目的预算调剂权下放给承担单位。直接费用实行分类总额控制，其中，材料费、测试化验加工费、燃料动力费、出版</w:t>
      </w:r>
      <w:r>
        <w:rPr>
          <w:rFonts w:ascii="Arial" w:hAnsi="Arial" w:cs="Arial"/>
        </w:rPr>
        <w:t>/</w:t>
      </w:r>
      <w:r>
        <w:rPr>
          <w:rFonts w:ascii="Arial" w:hAnsi="Arial" w:cs="Arial"/>
        </w:rPr>
        <w:t>文献</w:t>
      </w:r>
      <w:r>
        <w:rPr>
          <w:rFonts w:ascii="Arial" w:hAnsi="Arial" w:cs="Arial"/>
        </w:rPr>
        <w:t>/</w:t>
      </w:r>
      <w:r>
        <w:rPr>
          <w:rFonts w:ascii="Arial" w:hAnsi="Arial" w:cs="Arial"/>
        </w:rPr>
        <w:t>信息传播</w:t>
      </w:r>
      <w:r>
        <w:rPr>
          <w:rFonts w:ascii="Arial" w:hAnsi="Arial" w:cs="Arial"/>
        </w:rPr>
        <w:t>/</w:t>
      </w:r>
      <w:r>
        <w:rPr>
          <w:rFonts w:ascii="Arial" w:hAnsi="Arial" w:cs="Arial"/>
        </w:rPr>
        <w:t>知识产权事务费等四个科目在实施中按一类管理；劳务费、专家咨询费、会议费</w:t>
      </w:r>
      <w:r>
        <w:rPr>
          <w:rFonts w:ascii="Arial" w:hAnsi="Arial" w:cs="Arial"/>
        </w:rPr>
        <w:t>/</w:t>
      </w:r>
      <w:r>
        <w:rPr>
          <w:rFonts w:ascii="Arial" w:hAnsi="Arial" w:cs="Arial"/>
        </w:rPr>
        <w:t>差旅费</w:t>
      </w:r>
      <w:r>
        <w:rPr>
          <w:rFonts w:ascii="Arial" w:hAnsi="Arial" w:cs="Arial"/>
        </w:rPr>
        <w:t>/</w:t>
      </w:r>
      <w:r>
        <w:rPr>
          <w:rFonts w:ascii="Arial" w:hAnsi="Arial" w:cs="Arial"/>
        </w:rPr>
        <w:t>国际合作交流费、其他支出等四个科目在实施中按一类管理。两类之间的预算调剂应履行承担单位内部审批程序；同一类预算额度内，承担单位可结合实际情况进行审批或授权课题负责人自行调剂使用；承担单位应按照国家有关规定完善管理制度，及时为科研人员办理预算调剂手续；相关管理制度由单位主管部门报项目管理部门备案。</w:t>
      </w:r>
    </w:p>
    <w:p w:rsidR="00E72A37" w:rsidRDefault="00E72A37" w:rsidP="00E72A37">
      <w:pPr>
        <w:pStyle w:val="a3"/>
        <w:spacing w:line="432" w:lineRule="auto"/>
        <w:rPr>
          <w:rFonts w:ascii="Arial" w:hAnsi="Arial" w:cs="Arial"/>
        </w:rPr>
      </w:pPr>
      <w:r>
        <w:rPr>
          <w:rFonts w:ascii="Arial" w:hAnsi="Arial" w:cs="Arial"/>
        </w:rPr>
        <w:t xml:space="preserve">　　</w:t>
      </w:r>
      <w:r>
        <w:rPr>
          <w:rStyle w:val="a4"/>
          <w:rFonts w:ascii="Arial" w:hAnsi="Arial" w:cs="Arial"/>
        </w:rPr>
        <w:t>7.</w:t>
      </w:r>
      <w:r>
        <w:rPr>
          <w:rStyle w:val="a4"/>
          <w:rFonts w:ascii="Arial" w:hAnsi="Arial" w:cs="Arial"/>
        </w:rPr>
        <w:t>规范结题财务审计。</w:t>
      </w:r>
      <w:r>
        <w:rPr>
          <w:rFonts w:ascii="Arial" w:hAnsi="Arial" w:cs="Arial"/>
        </w:rPr>
        <w:t>项目实施期满后，课题承担单位应当及时清理账目与资产，严格按照《中央财政科技计划项目（课题）结题审计指引》及相关规范组织实施结题审计工作，并做好与项目综合绩效评价工作的衔接。</w:t>
      </w:r>
    </w:p>
    <w:p w:rsidR="00E72A37" w:rsidRDefault="00E72A37" w:rsidP="00E72A37">
      <w:pPr>
        <w:pStyle w:val="a3"/>
        <w:spacing w:line="432" w:lineRule="auto"/>
        <w:rPr>
          <w:rFonts w:ascii="Arial" w:hAnsi="Arial" w:cs="Arial"/>
        </w:rPr>
      </w:pPr>
      <w:r>
        <w:rPr>
          <w:rFonts w:ascii="Arial" w:hAnsi="Arial" w:cs="Arial"/>
        </w:rPr>
        <w:t xml:space="preserve">　　</w:t>
      </w:r>
      <w:r>
        <w:rPr>
          <w:rStyle w:val="a4"/>
          <w:rFonts w:ascii="Arial" w:hAnsi="Arial" w:cs="Arial"/>
        </w:rPr>
        <w:t>8.</w:t>
      </w:r>
      <w:r>
        <w:rPr>
          <w:rStyle w:val="a4"/>
          <w:rFonts w:ascii="Arial" w:hAnsi="Arial" w:cs="Arial"/>
        </w:rPr>
        <w:t>实施一次性项目综合绩效评价。</w:t>
      </w:r>
      <w:r>
        <w:rPr>
          <w:rFonts w:ascii="Arial" w:hAnsi="Arial" w:cs="Arial"/>
        </w:rPr>
        <w:t>不再单独组织技术验收、财务验收，合并有关验收程序，实施一次性综合绩效评价。项目实施期满，项目管理专业机构应当根据有关要求，严格按照任务书的约定，考核项目任务完成情况和项目资金管理使用情况，组织开展综合绩效评价，重视相关项目间的协同和项目对重点专项目标实现的支撑作用。结余经费的认定、留用与收回等按照综合绩效评价相关要求执行。</w:t>
      </w:r>
    </w:p>
    <w:p w:rsidR="00E72A37" w:rsidRDefault="00E72A37" w:rsidP="00E72A37">
      <w:pPr>
        <w:pStyle w:val="a3"/>
        <w:spacing w:line="432" w:lineRule="auto"/>
        <w:rPr>
          <w:rFonts w:ascii="Arial" w:hAnsi="Arial" w:cs="Arial"/>
        </w:rPr>
      </w:pPr>
      <w:r>
        <w:rPr>
          <w:rFonts w:ascii="Arial" w:hAnsi="Arial" w:cs="Arial"/>
        </w:rPr>
        <w:t xml:space="preserve">　　</w:t>
      </w:r>
      <w:r>
        <w:rPr>
          <w:rStyle w:val="a4"/>
          <w:rFonts w:ascii="Arial" w:hAnsi="Arial" w:cs="Arial"/>
        </w:rPr>
        <w:t>9.</w:t>
      </w:r>
      <w:r>
        <w:rPr>
          <w:rStyle w:val="a4"/>
          <w:rFonts w:ascii="Arial" w:hAnsi="Arial" w:cs="Arial"/>
        </w:rPr>
        <w:t>突出代表性成果和项目实施效果评价。</w:t>
      </w:r>
      <w:r>
        <w:rPr>
          <w:rFonts w:ascii="Arial" w:hAnsi="Arial" w:cs="Arial"/>
        </w:rPr>
        <w:t>按照分类评价的要求，基础研究与应用基础研究类项目重点评价新发现、新原理、新方法、新规律的重大原创性和科学价值、解决经济社会发展和国家安全重大需求中关键科学问题的效能、支撑技术和产品开发的效果、代表性论文等科研成果的质量和水平；技术和产品开发</w:t>
      </w:r>
      <w:r>
        <w:rPr>
          <w:rFonts w:ascii="Arial" w:hAnsi="Arial" w:cs="Arial"/>
        </w:rPr>
        <w:lastRenderedPageBreak/>
        <w:t>类项目重点评价新技术、新方法、新产品、关键部件等的创新性、成熟度、稳定性、可靠性，突出成果转化应用情况及其在解决经济社会发展关键问题、支撑引领行业产业高质量发展中发挥的作用；应用示范类项目绩效评价以规模化应用、行业内推广为导向，重点评价集成性、先进性、经济适用性、辐射带动作用及产生的经济社会效益。对提交评价的论文、专利等</w:t>
      </w:r>
      <w:proofErr w:type="gramStart"/>
      <w:r>
        <w:rPr>
          <w:rFonts w:ascii="Arial" w:hAnsi="Arial" w:cs="Arial"/>
        </w:rPr>
        <w:t>作出</w:t>
      </w:r>
      <w:proofErr w:type="gramEnd"/>
      <w:r>
        <w:rPr>
          <w:rFonts w:ascii="Arial" w:hAnsi="Arial" w:cs="Arial"/>
        </w:rPr>
        <w:t>数量限制规定，不将</w:t>
      </w:r>
      <w:r>
        <w:rPr>
          <w:rFonts w:ascii="Arial" w:hAnsi="Arial" w:cs="Arial"/>
        </w:rPr>
        <w:t>“</w:t>
      </w:r>
      <w:r>
        <w:rPr>
          <w:rFonts w:ascii="Arial" w:hAnsi="Arial" w:cs="Arial"/>
        </w:rPr>
        <w:t>头衔</w:t>
      </w:r>
      <w:r>
        <w:rPr>
          <w:rFonts w:ascii="Arial" w:hAnsi="Arial" w:cs="Arial"/>
        </w:rPr>
        <w:t>”“</w:t>
      </w:r>
      <w:r>
        <w:rPr>
          <w:rFonts w:ascii="Arial" w:hAnsi="Arial" w:cs="Arial"/>
        </w:rPr>
        <w:t>帽子</w:t>
      </w:r>
      <w:r>
        <w:rPr>
          <w:rFonts w:ascii="Arial" w:hAnsi="Arial" w:cs="Arial"/>
        </w:rPr>
        <w:t>”“</w:t>
      </w:r>
      <w:r>
        <w:rPr>
          <w:rFonts w:ascii="Arial" w:hAnsi="Arial" w:cs="Arial"/>
        </w:rPr>
        <w:t>论文数量</w:t>
      </w:r>
      <w:r>
        <w:rPr>
          <w:rFonts w:ascii="Arial" w:hAnsi="Arial" w:cs="Arial"/>
        </w:rPr>
        <w:t>”“</w:t>
      </w:r>
      <w:r>
        <w:rPr>
          <w:rFonts w:ascii="Arial" w:hAnsi="Arial" w:cs="Arial"/>
        </w:rPr>
        <w:t>获得奖励</w:t>
      </w:r>
      <w:r>
        <w:rPr>
          <w:rFonts w:ascii="Arial" w:hAnsi="Arial" w:cs="Arial"/>
        </w:rPr>
        <w:t>”</w:t>
      </w:r>
      <w:r>
        <w:rPr>
          <w:rFonts w:ascii="Arial" w:hAnsi="Arial" w:cs="Arial"/>
        </w:rPr>
        <w:t>等作为评价指标。</w:t>
      </w:r>
    </w:p>
    <w:p w:rsidR="00E72A37" w:rsidRDefault="00E72A37" w:rsidP="00E72A37">
      <w:pPr>
        <w:pStyle w:val="a3"/>
        <w:spacing w:line="432" w:lineRule="auto"/>
        <w:rPr>
          <w:rFonts w:ascii="Arial" w:hAnsi="Arial" w:cs="Arial"/>
        </w:rPr>
      </w:pPr>
      <w:r>
        <w:rPr>
          <w:rFonts w:ascii="Arial" w:hAnsi="Arial" w:cs="Arial"/>
        </w:rPr>
        <w:t xml:space="preserve">　　</w:t>
      </w:r>
      <w:r>
        <w:rPr>
          <w:rStyle w:val="a4"/>
          <w:rFonts w:ascii="Arial" w:hAnsi="Arial" w:cs="Arial"/>
        </w:rPr>
        <w:t>10.</w:t>
      </w:r>
      <w:r>
        <w:rPr>
          <w:rStyle w:val="a4"/>
          <w:rFonts w:ascii="Arial" w:hAnsi="Arial" w:cs="Arial"/>
        </w:rPr>
        <w:t>加强科学伦理审查和监管。</w:t>
      </w:r>
      <w:r>
        <w:rPr>
          <w:rFonts w:ascii="Arial" w:hAnsi="Arial" w:cs="Arial"/>
        </w:rPr>
        <w:t>有关承担单位和科研人员须恪守科学道德，遵守有关法律法规和伦理准则。相关单位建立资质合格的伦理审查委员会，须对相关科研活动加强审查和监管；相关科研人员应自觉接受伦理审查和监管。</w:t>
      </w:r>
    </w:p>
    <w:p w:rsidR="00E72A37" w:rsidRDefault="00E72A37" w:rsidP="00E72A37">
      <w:pPr>
        <w:pStyle w:val="a3"/>
        <w:spacing w:line="432" w:lineRule="auto"/>
        <w:rPr>
          <w:rFonts w:ascii="Arial" w:hAnsi="Arial" w:cs="Arial"/>
        </w:rPr>
      </w:pPr>
      <w:r>
        <w:rPr>
          <w:rFonts w:ascii="Arial" w:hAnsi="Arial" w:cs="Arial"/>
        </w:rPr>
        <w:t xml:space="preserve">　　</w:t>
      </w:r>
      <w:r>
        <w:rPr>
          <w:rStyle w:val="a4"/>
          <w:rFonts w:ascii="Arial" w:hAnsi="Arial" w:cs="Arial"/>
        </w:rPr>
        <w:t>11.</w:t>
      </w:r>
      <w:r>
        <w:rPr>
          <w:rStyle w:val="a4"/>
          <w:rFonts w:ascii="Arial" w:hAnsi="Arial" w:cs="Arial"/>
        </w:rPr>
        <w:t>强化承担单位和项目管理专业机构责任。</w:t>
      </w:r>
      <w:r>
        <w:rPr>
          <w:rFonts w:ascii="Arial" w:hAnsi="Arial" w:cs="Arial"/>
        </w:rPr>
        <w:t>承担单位应发挥科研项目和资金管理主体责任，结合单位实际，修订完善内部科研项目和资金管理制度，严格按照任务书的承诺，做好组织实施和支撑服务；中央高校、科研院所要根据科研工作的特点，对科研需要的出差和会议按标准报销相关费用，进一步简化优化报销管理，建立起科学合理、便捷高效的报销管理机制；加强单位内部的政策宣传与培训，强化科研人员的责任和诚信意识，对违背承诺与诚信要求的，加强责任追究，对严重失信行为实行联合惩戒。项目管理专业机构要深入落实下放科技管理权限工作，及时向项目承担单位拨付资金，不得额外增加承担单位的负担。承担单位及项目管理专业机构要根据《财政部关于进一步完善中央财政科技和教育资金预算执行管理有关事宜的通知》（财库〔</w:t>
      </w:r>
      <w:r>
        <w:rPr>
          <w:rFonts w:ascii="Arial" w:hAnsi="Arial" w:cs="Arial"/>
        </w:rPr>
        <w:t>2018</w:t>
      </w:r>
      <w:r>
        <w:rPr>
          <w:rFonts w:ascii="Arial" w:hAnsi="Arial" w:cs="Arial"/>
        </w:rPr>
        <w:t>〕</w:t>
      </w:r>
      <w:r>
        <w:rPr>
          <w:rFonts w:ascii="Arial" w:hAnsi="Arial" w:cs="Arial"/>
        </w:rPr>
        <w:t>96</w:t>
      </w:r>
      <w:r>
        <w:rPr>
          <w:rFonts w:ascii="Arial" w:hAnsi="Arial" w:cs="Arial"/>
        </w:rPr>
        <w:t>号）等要求，做好资金支付管理、公务卡管理、科研仪器设备采购管理等相关工作。</w:t>
      </w:r>
    </w:p>
    <w:p w:rsidR="00E72A37" w:rsidRDefault="00E72A37" w:rsidP="00E72A37">
      <w:pPr>
        <w:pStyle w:val="a3"/>
        <w:spacing w:line="432" w:lineRule="auto"/>
        <w:rPr>
          <w:rFonts w:ascii="Arial" w:hAnsi="Arial" w:cs="Arial"/>
        </w:rPr>
      </w:pPr>
      <w:r>
        <w:rPr>
          <w:rFonts w:ascii="Arial" w:hAnsi="Arial" w:cs="Arial"/>
        </w:rPr>
        <w:t xml:space="preserve">　　</w:t>
      </w:r>
      <w:r>
        <w:rPr>
          <w:rStyle w:val="a4"/>
          <w:rFonts w:ascii="Arial" w:hAnsi="Arial" w:cs="Arial"/>
        </w:rPr>
        <w:t>12.</w:t>
      </w:r>
      <w:r>
        <w:rPr>
          <w:rStyle w:val="a4"/>
          <w:rFonts w:ascii="Arial" w:hAnsi="Arial" w:cs="Arial"/>
        </w:rPr>
        <w:t>做好项目政策衔接。</w:t>
      </w:r>
      <w:r>
        <w:rPr>
          <w:rFonts w:ascii="Arial" w:hAnsi="Arial" w:cs="Arial"/>
        </w:rPr>
        <w:t>对于执行周期结束且已开展结题验收的项目，继续按照原政策执行；项目执行周期结束但尚未开展结题验收以及仍在执行中的项目，参照本通知执行。</w:t>
      </w:r>
    </w:p>
    <w:p w:rsidR="00E72A37" w:rsidRDefault="00E72A37" w:rsidP="00E72A37">
      <w:pPr>
        <w:pStyle w:val="a3"/>
        <w:spacing w:line="432" w:lineRule="auto"/>
        <w:rPr>
          <w:rFonts w:ascii="Arial" w:hAnsi="Arial" w:cs="Arial"/>
        </w:rPr>
      </w:pPr>
      <w:r>
        <w:rPr>
          <w:rFonts w:ascii="Arial" w:hAnsi="Arial" w:cs="Arial"/>
        </w:rPr>
        <w:lastRenderedPageBreak/>
        <w:t xml:space="preserve">　　本通知自发布之日起施行，《国家重点研发计划管理暂行办法》（国</w:t>
      </w:r>
      <w:proofErr w:type="gramStart"/>
      <w:r>
        <w:rPr>
          <w:rFonts w:ascii="Arial" w:hAnsi="Arial" w:cs="Arial"/>
        </w:rPr>
        <w:t>科发资〔</w:t>
      </w:r>
      <w:r>
        <w:rPr>
          <w:rFonts w:ascii="Arial" w:hAnsi="Arial" w:cs="Arial"/>
        </w:rPr>
        <w:t>2017</w:t>
      </w:r>
      <w:r>
        <w:rPr>
          <w:rFonts w:ascii="Arial" w:hAnsi="Arial" w:cs="Arial"/>
        </w:rPr>
        <w:t>〕</w:t>
      </w:r>
      <w:proofErr w:type="gramEnd"/>
      <w:r>
        <w:rPr>
          <w:rFonts w:ascii="Arial" w:hAnsi="Arial" w:cs="Arial"/>
        </w:rPr>
        <w:t>152</w:t>
      </w:r>
      <w:r>
        <w:rPr>
          <w:rFonts w:ascii="Arial" w:hAnsi="Arial" w:cs="Arial"/>
        </w:rPr>
        <w:t>号）、《国家重点研发计划资金管理办法》（财科教〔</w:t>
      </w:r>
      <w:r>
        <w:rPr>
          <w:rFonts w:ascii="Arial" w:hAnsi="Arial" w:cs="Arial"/>
        </w:rPr>
        <w:t>2016</w:t>
      </w:r>
      <w:r>
        <w:rPr>
          <w:rFonts w:ascii="Arial" w:hAnsi="Arial" w:cs="Arial"/>
        </w:rPr>
        <w:t>〕</w:t>
      </w:r>
      <w:r>
        <w:rPr>
          <w:rFonts w:ascii="Arial" w:hAnsi="Arial" w:cs="Arial"/>
        </w:rPr>
        <w:t>113</w:t>
      </w:r>
      <w:r>
        <w:rPr>
          <w:rFonts w:ascii="Arial" w:hAnsi="Arial" w:cs="Arial"/>
        </w:rPr>
        <w:t>号）和改革前计划有关管理办法等相关规定与本通知要求不一致的，以本通知为准。</w:t>
      </w:r>
    </w:p>
    <w:p w:rsidR="00E72A37" w:rsidRDefault="00E72A37" w:rsidP="00E72A37">
      <w:pPr>
        <w:pStyle w:val="a3"/>
        <w:spacing w:line="432" w:lineRule="auto"/>
        <w:jc w:val="right"/>
        <w:rPr>
          <w:rFonts w:ascii="Arial" w:hAnsi="Arial" w:cs="Arial"/>
        </w:rPr>
      </w:pPr>
      <w:r>
        <w:rPr>
          <w:rFonts w:ascii="Arial" w:hAnsi="Arial" w:cs="Arial"/>
        </w:rPr>
        <w:t xml:space="preserve">　　　　　　　　　　　　科</w:t>
      </w:r>
      <w:r>
        <w:rPr>
          <w:rFonts w:ascii="Arial" w:hAnsi="Arial" w:cs="Arial"/>
        </w:rPr>
        <w:t xml:space="preserve"> </w:t>
      </w:r>
      <w:r>
        <w:rPr>
          <w:rFonts w:ascii="Arial" w:hAnsi="Arial" w:cs="Arial"/>
        </w:rPr>
        <w:t>技</w:t>
      </w:r>
      <w:r>
        <w:rPr>
          <w:rFonts w:ascii="Arial" w:hAnsi="Arial" w:cs="Arial"/>
        </w:rPr>
        <w:t xml:space="preserve"> </w:t>
      </w:r>
      <w:r>
        <w:rPr>
          <w:rFonts w:ascii="Arial" w:hAnsi="Arial" w:cs="Arial"/>
        </w:rPr>
        <w:t xml:space="preserve">部　　</w:t>
      </w:r>
      <w:proofErr w:type="gramStart"/>
      <w:r>
        <w:rPr>
          <w:rFonts w:ascii="Arial" w:hAnsi="Arial" w:cs="Arial"/>
        </w:rPr>
        <w:t xml:space="preserve">　</w:t>
      </w:r>
      <w:proofErr w:type="gramEnd"/>
      <w:r>
        <w:rPr>
          <w:rFonts w:ascii="Arial" w:hAnsi="Arial" w:cs="Arial"/>
        </w:rPr>
        <w:t>财</w:t>
      </w:r>
      <w:r>
        <w:rPr>
          <w:rFonts w:ascii="Arial" w:hAnsi="Arial" w:cs="Arial"/>
        </w:rPr>
        <w:t xml:space="preserve"> </w:t>
      </w:r>
      <w:r>
        <w:rPr>
          <w:rFonts w:ascii="Arial" w:hAnsi="Arial" w:cs="Arial"/>
        </w:rPr>
        <w:t>政</w:t>
      </w:r>
      <w:r>
        <w:rPr>
          <w:rFonts w:ascii="Arial" w:hAnsi="Arial" w:cs="Arial"/>
        </w:rPr>
        <w:t xml:space="preserve"> </w:t>
      </w:r>
      <w:proofErr w:type="gramStart"/>
      <w:r>
        <w:rPr>
          <w:rFonts w:ascii="Arial" w:hAnsi="Arial" w:cs="Arial"/>
        </w:rPr>
        <w:t xml:space="preserve">部　　</w:t>
      </w:r>
      <w:proofErr w:type="gramEnd"/>
      <w:r>
        <w:rPr>
          <w:rFonts w:ascii="Arial" w:hAnsi="Arial" w:cs="Arial"/>
        </w:rPr>
        <w:br/>
      </w:r>
      <w:proofErr w:type="gramStart"/>
      <w:r>
        <w:rPr>
          <w:rFonts w:ascii="Arial" w:hAnsi="Arial" w:cs="Arial"/>
        </w:rPr>
        <w:t xml:space="preserve">　　　　　　　　　　　　</w:t>
      </w:r>
      <w:proofErr w:type="gramEnd"/>
      <w:r>
        <w:rPr>
          <w:rFonts w:ascii="Arial" w:hAnsi="Arial" w:cs="Arial"/>
        </w:rPr>
        <w:t>2019</w:t>
      </w:r>
      <w:r>
        <w:rPr>
          <w:rFonts w:ascii="Arial" w:hAnsi="Arial" w:cs="Arial"/>
        </w:rPr>
        <w:t>年</w:t>
      </w:r>
      <w:r>
        <w:rPr>
          <w:rFonts w:ascii="Arial" w:hAnsi="Arial" w:cs="Arial"/>
        </w:rPr>
        <w:t>1</w:t>
      </w:r>
      <w:r>
        <w:rPr>
          <w:rFonts w:ascii="Arial" w:hAnsi="Arial" w:cs="Arial"/>
        </w:rPr>
        <w:t>月</w:t>
      </w:r>
      <w:r>
        <w:rPr>
          <w:rFonts w:ascii="Arial" w:hAnsi="Arial" w:cs="Arial"/>
        </w:rPr>
        <w:t>22</w:t>
      </w:r>
      <w:r>
        <w:rPr>
          <w:rFonts w:ascii="Arial" w:hAnsi="Arial" w:cs="Arial"/>
        </w:rPr>
        <w:t>日</w:t>
      </w:r>
    </w:p>
    <w:p w:rsidR="00E26933" w:rsidRDefault="00E26933"/>
    <w:sectPr w:rsidR="00E2693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A37"/>
    <w:rsid w:val="00024957"/>
    <w:rsid w:val="00033F98"/>
    <w:rsid w:val="00041E75"/>
    <w:rsid w:val="0004713C"/>
    <w:rsid w:val="00054979"/>
    <w:rsid w:val="00087244"/>
    <w:rsid w:val="00091EE9"/>
    <w:rsid w:val="000B62E1"/>
    <w:rsid w:val="001042E8"/>
    <w:rsid w:val="0013405F"/>
    <w:rsid w:val="0018004A"/>
    <w:rsid w:val="00185503"/>
    <w:rsid w:val="001A1961"/>
    <w:rsid w:val="001A71B8"/>
    <w:rsid w:val="001F2BC0"/>
    <w:rsid w:val="002013B5"/>
    <w:rsid w:val="0020197A"/>
    <w:rsid w:val="002348D9"/>
    <w:rsid w:val="0024183C"/>
    <w:rsid w:val="00244984"/>
    <w:rsid w:val="002823F8"/>
    <w:rsid w:val="002B6704"/>
    <w:rsid w:val="002F7F08"/>
    <w:rsid w:val="00344327"/>
    <w:rsid w:val="00350C85"/>
    <w:rsid w:val="003B6905"/>
    <w:rsid w:val="003D061A"/>
    <w:rsid w:val="003D7D80"/>
    <w:rsid w:val="003F0F2C"/>
    <w:rsid w:val="004F74B6"/>
    <w:rsid w:val="0052200C"/>
    <w:rsid w:val="00556104"/>
    <w:rsid w:val="00567EB3"/>
    <w:rsid w:val="00581609"/>
    <w:rsid w:val="00583BBE"/>
    <w:rsid w:val="005A6736"/>
    <w:rsid w:val="0060382E"/>
    <w:rsid w:val="00606FF6"/>
    <w:rsid w:val="00614B3E"/>
    <w:rsid w:val="006726A9"/>
    <w:rsid w:val="00674C0A"/>
    <w:rsid w:val="006A15B8"/>
    <w:rsid w:val="00700D69"/>
    <w:rsid w:val="007204C6"/>
    <w:rsid w:val="00764FBC"/>
    <w:rsid w:val="007D4BAA"/>
    <w:rsid w:val="007F4478"/>
    <w:rsid w:val="007F6E45"/>
    <w:rsid w:val="00805A2A"/>
    <w:rsid w:val="008C155B"/>
    <w:rsid w:val="008E684B"/>
    <w:rsid w:val="00970164"/>
    <w:rsid w:val="0098594B"/>
    <w:rsid w:val="00990983"/>
    <w:rsid w:val="009A5FFE"/>
    <w:rsid w:val="00A378C5"/>
    <w:rsid w:val="00A90C6C"/>
    <w:rsid w:val="00AD41EF"/>
    <w:rsid w:val="00B17EB6"/>
    <w:rsid w:val="00B23BF7"/>
    <w:rsid w:val="00B36D25"/>
    <w:rsid w:val="00B52E3C"/>
    <w:rsid w:val="00B719D6"/>
    <w:rsid w:val="00BD0D95"/>
    <w:rsid w:val="00C30000"/>
    <w:rsid w:val="00C40D43"/>
    <w:rsid w:val="00CA2D84"/>
    <w:rsid w:val="00CC63C1"/>
    <w:rsid w:val="00D16EE6"/>
    <w:rsid w:val="00D27F96"/>
    <w:rsid w:val="00D354A0"/>
    <w:rsid w:val="00D94625"/>
    <w:rsid w:val="00DA28AA"/>
    <w:rsid w:val="00DA51A9"/>
    <w:rsid w:val="00DF12BF"/>
    <w:rsid w:val="00DF5A38"/>
    <w:rsid w:val="00E26933"/>
    <w:rsid w:val="00E41698"/>
    <w:rsid w:val="00E52ECA"/>
    <w:rsid w:val="00E72A37"/>
    <w:rsid w:val="00EB10B8"/>
    <w:rsid w:val="00EB32B4"/>
    <w:rsid w:val="00EC41E6"/>
    <w:rsid w:val="00ED55F3"/>
    <w:rsid w:val="00F11543"/>
    <w:rsid w:val="00F16629"/>
    <w:rsid w:val="00F26CAB"/>
    <w:rsid w:val="00F849E1"/>
    <w:rsid w:val="00F9674F"/>
    <w:rsid w:val="00FE3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A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2A3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2A3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72A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4942">
      <w:bodyDiv w:val="1"/>
      <w:marLeft w:val="0"/>
      <w:marRight w:val="0"/>
      <w:marTop w:val="0"/>
      <w:marBottom w:val="0"/>
      <w:divBdr>
        <w:top w:val="none" w:sz="0" w:space="0" w:color="auto"/>
        <w:left w:val="none" w:sz="0" w:space="0" w:color="auto"/>
        <w:bottom w:val="none" w:sz="0" w:space="0" w:color="auto"/>
        <w:right w:val="none" w:sz="0" w:space="0" w:color="auto"/>
      </w:divBdr>
      <w:divsChild>
        <w:div w:id="2096396860">
          <w:marLeft w:val="0"/>
          <w:marRight w:val="0"/>
          <w:marTop w:val="0"/>
          <w:marBottom w:val="0"/>
          <w:divBdr>
            <w:top w:val="none" w:sz="0" w:space="0" w:color="auto"/>
            <w:left w:val="none" w:sz="0" w:space="0" w:color="auto"/>
            <w:bottom w:val="none" w:sz="0" w:space="0" w:color="auto"/>
            <w:right w:val="none" w:sz="0" w:space="0" w:color="auto"/>
          </w:divBdr>
        </w:div>
      </w:divsChild>
    </w:div>
    <w:div w:id="2135904687">
      <w:bodyDiv w:val="1"/>
      <w:marLeft w:val="0"/>
      <w:marRight w:val="0"/>
      <w:marTop w:val="0"/>
      <w:marBottom w:val="0"/>
      <w:divBdr>
        <w:top w:val="none" w:sz="0" w:space="0" w:color="auto"/>
        <w:left w:val="none" w:sz="0" w:space="0" w:color="auto"/>
        <w:bottom w:val="none" w:sz="0" w:space="0" w:color="auto"/>
        <w:right w:val="none" w:sz="0" w:space="0" w:color="auto"/>
      </w:divBdr>
      <w:divsChild>
        <w:div w:id="1911124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444</Words>
  <Characters>2532</Characters>
  <Application>Microsoft Office Word</Application>
  <DocSecurity>0</DocSecurity>
  <Lines>21</Lines>
  <Paragraphs>5</Paragraphs>
  <ScaleCrop>false</ScaleCrop>
  <Company/>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荣凤云</dc:creator>
  <cp:lastModifiedBy>荣凤云</cp:lastModifiedBy>
  <cp:revision>1</cp:revision>
  <dcterms:created xsi:type="dcterms:W3CDTF">2019-11-12T09:51:00Z</dcterms:created>
  <dcterms:modified xsi:type="dcterms:W3CDTF">2019-11-12T09:52:00Z</dcterms:modified>
</cp:coreProperties>
</file>