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378" w:rsidRDefault="001F524C" w:rsidP="00CF4A94">
      <w:pPr>
        <w:spacing w:afterLines="100" w:after="312"/>
        <w:jc w:val="left"/>
        <w:rPr>
          <w:rFonts w:ascii="Times New Roman" w:eastAsia="仿宋_GB2312" w:hAnsi="Times New Roman" w:cs="Times New Roman"/>
          <w:bCs/>
          <w:sz w:val="32"/>
          <w:szCs w:val="32"/>
        </w:rPr>
      </w:pPr>
      <w:bookmarkStart w:id="0" w:name="_GoBack"/>
      <w:bookmarkEnd w:id="0"/>
      <w:r w:rsidRPr="001F524C">
        <w:rPr>
          <w:rFonts w:ascii="Times New Roman" w:eastAsia="仿宋_GB2312" w:hAnsi="Times New Roman" w:cs="Times New Roman" w:hint="eastAsia"/>
          <w:bCs/>
          <w:sz w:val="32"/>
          <w:szCs w:val="32"/>
        </w:rPr>
        <w:t>附件</w:t>
      </w:r>
      <w:r w:rsidRPr="001F524C">
        <w:rPr>
          <w:rFonts w:ascii="Times New Roman" w:eastAsia="仿宋_GB2312" w:hAnsi="Times New Roman" w:cs="Times New Roman"/>
          <w:bCs/>
          <w:sz w:val="32"/>
          <w:szCs w:val="32"/>
        </w:rPr>
        <w:t>1</w:t>
      </w:r>
      <w:r w:rsidRPr="001F524C">
        <w:rPr>
          <w:rFonts w:ascii="Times New Roman" w:eastAsia="仿宋_GB2312" w:hAnsi="Times New Roman" w:cs="Times New Roman" w:hint="eastAsia"/>
          <w:bCs/>
          <w:sz w:val="32"/>
          <w:szCs w:val="32"/>
        </w:rPr>
        <w:t>：</w:t>
      </w:r>
    </w:p>
    <w:p w:rsidR="004315C7" w:rsidRPr="004C064C" w:rsidRDefault="001F524C">
      <w:pPr>
        <w:jc w:val="center"/>
        <w:rPr>
          <w:rFonts w:ascii="华文中宋" w:eastAsia="华文中宋" w:hAnsi="华文中宋" w:cs="Times New Roman"/>
          <w:bCs/>
          <w:sz w:val="36"/>
          <w:szCs w:val="36"/>
        </w:rPr>
      </w:pPr>
      <w:r w:rsidRPr="001F524C">
        <w:rPr>
          <w:rFonts w:ascii="华文中宋" w:eastAsia="华文中宋" w:hAnsi="华文中宋" w:cs="Times New Roman" w:hint="eastAsia"/>
          <w:bCs/>
          <w:sz w:val="36"/>
          <w:szCs w:val="36"/>
        </w:rPr>
        <w:t>《政府会计制度——行政事业单位会计科目和报表》与《行政单位会计制度》有关衔接问题的处理规定</w:t>
      </w:r>
    </w:p>
    <w:p w:rsidR="004315C7" w:rsidRPr="004C064C" w:rsidRDefault="004315C7">
      <w:pPr>
        <w:rPr>
          <w:rFonts w:ascii="Times New Roman" w:eastAsia="仿宋_GB2312" w:hAnsi="Times New Roman" w:cs="Times New Roman"/>
          <w:sz w:val="32"/>
          <w:szCs w:val="32"/>
        </w:rPr>
      </w:pPr>
    </w:p>
    <w:p w:rsidR="004315C7" w:rsidRPr="004C064C" w:rsidRDefault="001F524C">
      <w:pPr>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我部于</w:t>
      </w:r>
      <w:r w:rsidRPr="001F524C">
        <w:rPr>
          <w:rFonts w:ascii="Times New Roman" w:eastAsia="仿宋_GB2312" w:hAnsi="Times New Roman" w:cs="Times New Roman"/>
          <w:sz w:val="32"/>
          <w:szCs w:val="32"/>
        </w:rPr>
        <w:t>2017</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10</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24</w:t>
      </w:r>
      <w:r w:rsidRPr="001F524C">
        <w:rPr>
          <w:rFonts w:ascii="Times New Roman" w:eastAsia="仿宋_GB2312" w:hAnsi="Times New Roman" w:cs="Times New Roman" w:hint="eastAsia"/>
          <w:sz w:val="32"/>
          <w:szCs w:val="32"/>
        </w:rPr>
        <w:t>日印发了《政府会计制度——行政事业单位会计科目和报表》（财会〔</w:t>
      </w:r>
      <w:r w:rsidRPr="001F524C">
        <w:rPr>
          <w:rFonts w:ascii="Times New Roman" w:eastAsia="仿宋_GB2312" w:hAnsi="Times New Roman" w:cs="Times New Roman"/>
          <w:sz w:val="32"/>
          <w:szCs w:val="32"/>
        </w:rPr>
        <w:t>2017</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25</w:t>
      </w:r>
      <w:r w:rsidRPr="001F524C">
        <w:rPr>
          <w:rFonts w:ascii="Times New Roman" w:eastAsia="仿宋_GB2312" w:hAnsi="Times New Roman" w:cs="Times New Roman"/>
          <w:sz w:val="32"/>
          <w:szCs w:val="32"/>
        </w:rPr>
        <w:t>号</w:t>
      </w:r>
      <w:r w:rsidRPr="001F524C">
        <w:rPr>
          <w:rFonts w:ascii="Times New Roman" w:eastAsia="仿宋_GB2312" w:hAnsi="Times New Roman" w:cs="Times New Roman" w:hint="eastAsia"/>
          <w:sz w:val="32"/>
          <w:szCs w:val="32"/>
        </w:rPr>
        <w:t>，以下简称新制度）。</w:t>
      </w:r>
      <w:r w:rsidR="00FE1E3A">
        <w:rPr>
          <w:rFonts w:ascii="Times New Roman" w:eastAsia="仿宋_GB2312" w:hAnsi="Times New Roman" w:cs="Times New Roman" w:hint="eastAsia"/>
          <w:sz w:val="32"/>
          <w:szCs w:val="32"/>
        </w:rPr>
        <w:t>目前</w:t>
      </w:r>
      <w:r w:rsidRPr="001F524C">
        <w:rPr>
          <w:rFonts w:ascii="Times New Roman" w:eastAsia="仿宋_GB2312" w:hAnsi="Times New Roman" w:cs="Times New Roman" w:hint="eastAsia"/>
          <w:sz w:val="32"/>
          <w:szCs w:val="32"/>
        </w:rPr>
        <w:t>执行《行政单位会计制度》（</w:t>
      </w:r>
      <w:r w:rsidRPr="001F524C">
        <w:rPr>
          <w:rFonts w:ascii="Times New Roman" w:eastAsia="仿宋_GB2312" w:hAnsi="Times New Roman" w:cs="Times New Roman" w:hint="eastAsia"/>
          <w:kern w:val="0"/>
          <w:sz w:val="32"/>
          <w:szCs w:val="32"/>
        </w:rPr>
        <w:t>财库〔</w:t>
      </w:r>
      <w:r w:rsidRPr="001F524C">
        <w:rPr>
          <w:rFonts w:ascii="Times New Roman" w:eastAsia="仿宋_GB2312" w:hAnsi="Times New Roman" w:cs="Times New Roman"/>
          <w:kern w:val="0"/>
          <w:sz w:val="32"/>
          <w:szCs w:val="32"/>
        </w:rPr>
        <w:t>2013</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kern w:val="0"/>
          <w:sz w:val="32"/>
          <w:szCs w:val="32"/>
        </w:rPr>
        <w:t>218</w:t>
      </w:r>
      <w:r w:rsidRPr="001F524C">
        <w:rPr>
          <w:rFonts w:ascii="Times New Roman" w:eastAsia="仿宋_GB2312" w:hAnsi="Times New Roman" w:cs="Times New Roman" w:hint="eastAsia"/>
          <w:sz w:val="32"/>
          <w:szCs w:val="32"/>
        </w:rPr>
        <w:t>号，以下简称原制度）的单位，自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日起执行新制度，不再执行原制度。为了确保新旧会计制度顺利过渡，现对单位执行新制度的有关衔接问题规定如下：</w:t>
      </w:r>
    </w:p>
    <w:p w:rsidR="004315C7" w:rsidRPr="004C064C" w:rsidRDefault="001F524C">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一、新旧制度衔接总要求</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年１月１日起，单位应当严格按照新制度的规定进行会计核算、编制财务报表和预算会计报表。</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（二）单位应当按照本规定做好新旧制度衔接的相关工作，</w:t>
      </w:r>
      <w:r w:rsidR="008F72E1">
        <w:rPr>
          <w:rFonts w:ascii="Times New Roman" w:eastAsia="仿宋_GB2312" w:hAnsi="Times New Roman" w:cs="Times New Roman" w:hint="eastAsia"/>
          <w:sz w:val="32"/>
          <w:szCs w:val="32"/>
        </w:rPr>
        <w:t>主要</w:t>
      </w:r>
      <w:r w:rsidRPr="001F524C">
        <w:rPr>
          <w:rFonts w:ascii="Times New Roman" w:eastAsia="仿宋_GB2312" w:hAnsi="Times New Roman" w:cs="Times New Roman" w:hint="eastAsia"/>
          <w:sz w:val="32"/>
          <w:szCs w:val="32"/>
        </w:rPr>
        <w:t>包括以下几个方面：</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根据原账编制</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日的科目余额表，并</w:t>
      </w:r>
      <w:r w:rsidR="00FE1E3A">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本规定要求，编制原账的部分科目余额明细表（见附表</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、附表２）。</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按照新制度设立</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日的新账。</w:t>
      </w:r>
    </w:p>
    <w:p w:rsidR="00A735D3" w:rsidRDefault="001F524C">
      <w:pPr>
        <w:ind w:firstLineChars="200" w:firstLine="640"/>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按照本规定要求，登记新账的财务会计科目余额和预算结余科目余额，包括将原账科目余额转入新账财务会计科目</w:t>
      </w:r>
      <w:r w:rsidR="00627C91">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按照原账科目余额登记新账预算结余科目（</w:t>
      </w:r>
      <w:r w:rsidR="00627C91" w:rsidRPr="00627C91">
        <w:rPr>
          <w:rFonts w:ascii="Times New Roman" w:eastAsia="仿宋_GB2312" w:hAnsi="Times New Roman" w:cs="Times New Roman" w:hint="eastAsia"/>
          <w:sz w:val="32"/>
          <w:szCs w:val="32"/>
        </w:rPr>
        <w:t>行政单位新</w:t>
      </w:r>
      <w:r w:rsidR="00627C91" w:rsidRPr="00627C91">
        <w:rPr>
          <w:rFonts w:ascii="Times New Roman" w:eastAsia="仿宋_GB2312" w:hAnsi="Times New Roman" w:cs="Times New Roman" w:hint="eastAsia"/>
          <w:sz w:val="32"/>
          <w:szCs w:val="32"/>
        </w:rPr>
        <w:lastRenderedPageBreak/>
        <w:t>旧会计制度转账、登记新账科目对照表</w:t>
      </w:r>
      <w:r w:rsidRPr="001F524C">
        <w:rPr>
          <w:rFonts w:ascii="Times New Roman" w:eastAsia="仿宋_GB2312" w:hAnsi="Times New Roman" w:cs="Times New Roman" w:hint="eastAsia"/>
          <w:sz w:val="32"/>
          <w:szCs w:val="32"/>
        </w:rPr>
        <w:t>见附表</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），将未入账事项登记新账科目，并对相关新账科目余额进行调整。原账科目是指按照原制度规定设置的会计科目。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4.</w:t>
      </w:r>
      <w:r w:rsidRPr="001F524C">
        <w:rPr>
          <w:rFonts w:ascii="Times New Roman" w:eastAsia="仿宋_GB2312" w:hAnsi="Times New Roman" w:cs="Times New Roman" w:hint="eastAsia"/>
          <w:sz w:val="32"/>
          <w:szCs w:val="32"/>
        </w:rPr>
        <w:t>按照登记及调整后新账的各会计科目余额，编制</w:t>
      </w:r>
      <w:r w:rsidR="008F72E1">
        <w:rPr>
          <w:rFonts w:ascii="Times New Roman" w:eastAsia="仿宋_GB2312" w:hAnsi="Times New Roman" w:cs="Times New Roman" w:hint="eastAsia"/>
          <w:sz w:val="32"/>
          <w:szCs w:val="32"/>
        </w:rPr>
        <w:t>2019</w:t>
      </w:r>
      <w:r w:rsidR="008F72E1">
        <w:rPr>
          <w:rFonts w:ascii="Times New Roman" w:eastAsia="仿宋_GB2312" w:hAnsi="Times New Roman" w:cs="Times New Roman" w:hint="eastAsia"/>
          <w:sz w:val="32"/>
          <w:szCs w:val="32"/>
        </w:rPr>
        <w:t>年</w:t>
      </w:r>
      <w:r w:rsidR="008F72E1">
        <w:rPr>
          <w:rFonts w:ascii="Times New Roman" w:eastAsia="仿宋_GB2312" w:hAnsi="Times New Roman" w:cs="Times New Roman" w:hint="eastAsia"/>
          <w:sz w:val="32"/>
          <w:szCs w:val="32"/>
        </w:rPr>
        <w:t>1</w:t>
      </w:r>
      <w:r w:rsidR="008F72E1">
        <w:rPr>
          <w:rFonts w:ascii="Times New Roman" w:eastAsia="仿宋_GB2312" w:hAnsi="Times New Roman" w:cs="Times New Roman" w:hint="eastAsia"/>
          <w:sz w:val="32"/>
          <w:szCs w:val="32"/>
        </w:rPr>
        <w:t>月</w:t>
      </w:r>
      <w:r w:rsidR="008F72E1">
        <w:rPr>
          <w:rFonts w:ascii="Times New Roman" w:eastAsia="仿宋_GB2312" w:hAnsi="Times New Roman" w:cs="Times New Roman" w:hint="eastAsia"/>
          <w:sz w:val="32"/>
          <w:szCs w:val="32"/>
        </w:rPr>
        <w:t>1</w:t>
      </w:r>
      <w:r w:rsidR="008F72E1">
        <w:rPr>
          <w:rFonts w:ascii="Times New Roman" w:eastAsia="仿宋_GB2312" w:hAnsi="Times New Roman" w:cs="Times New Roman" w:hint="eastAsia"/>
          <w:sz w:val="32"/>
          <w:szCs w:val="32"/>
        </w:rPr>
        <w:t>日的</w:t>
      </w:r>
      <w:r w:rsidRPr="001F524C">
        <w:rPr>
          <w:rFonts w:ascii="Times New Roman" w:eastAsia="仿宋_GB2312" w:hAnsi="Times New Roman" w:cs="Times New Roman" w:hint="eastAsia"/>
          <w:sz w:val="32"/>
          <w:szCs w:val="32"/>
        </w:rPr>
        <w:t>科目余额表</w:t>
      </w:r>
      <w:r w:rsidR="00703280">
        <w:rPr>
          <w:rFonts w:ascii="Times New Roman" w:eastAsia="仿宋_GB2312" w:hAnsi="Times New Roman" w:cs="Times New Roman" w:hint="eastAsia"/>
          <w:sz w:val="32"/>
          <w:szCs w:val="32"/>
        </w:rPr>
        <w:t>，作为新账各会计科目的期初余额</w:t>
      </w:r>
      <w:r w:rsidRPr="001F524C">
        <w:rPr>
          <w:rFonts w:ascii="Times New Roman" w:eastAsia="仿宋_GB2312" w:hAnsi="Times New Roman" w:cs="Times New Roman" w:hint="eastAsia"/>
          <w:sz w:val="32"/>
          <w:szCs w:val="32"/>
        </w:rPr>
        <w:t>。</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5.</w:t>
      </w:r>
      <w:r w:rsidRPr="001F524C">
        <w:rPr>
          <w:rFonts w:ascii="Times New Roman" w:eastAsia="仿宋_GB2312" w:hAnsi="Times New Roman" w:cs="Times New Roman" w:hint="eastAsia"/>
          <w:sz w:val="32"/>
          <w:szCs w:val="32"/>
        </w:rPr>
        <w:t>根据新账各</w:t>
      </w:r>
      <w:r w:rsidR="008F72E1">
        <w:rPr>
          <w:rFonts w:ascii="Times New Roman" w:eastAsia="仿宋_GB2312" w:hAnsi="Times New Roman" w:cs="Times New Roman" w:hint="eastAsia"/>
          <w:sz w:val="32"/>
          <w:szCs w:val="32"/>
        </w:rPr>
        <w:t>会计科目</w:t>
      </w:r>
      <w:r w:rsidRPr="001F524C">
        <w:rPr>
          <w:rFonts w:ascii="Times New Roman" w:eastAsia="仿宋_GB2312" w:hAnsi="Times New Roman" w:cs="Times New Roman" w:hint="eastAsia"/>
          <w:sz w:val="32"/>
          <w:szCs w:val="32"/>
        </w:rPr>
        <w:t>期初余额，按照新制度编制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w:t>
      </w:r>
      <w:r w:rsidR="008F72E1">
        <w:rPr>
          <w:rFonts w:ascii="Times New Roman" w:eastAsia="仿宋_GB2312" w:hAnsi="Times New Roman" w:cs="Times New Roman" w:hint="eastAsia"/>
          <w:sz w:val="32"/>
          <w:szCs w:val="32"/>
        </w:rPr>
        <w:t>。</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（三）及时调整会计信息系统。单位应当按照新制度</w:t>
      </w:r>
      <w:r w:rsidR="00C02561">
        <w:rPr>
          <w:rFonts w:ascii="Times New Roman" w:eastAsia="仿宋_GB2312" w:hAnsi="Times New Roman" w:cs="Times New Roman" w:hint="eastAsia"/>
          <w:sz w:val="32"/>
          <w:szCs w:val="32"/>
        </w:rPr>
        <w:t>要求</w:t>
      </w:r>
      <w:r w:rsidRPr="001F524C">
        <w:rPr>
          <w:rFonts w:ascii="Times New Roman" w:eastAsia="仿宋_GB2312" w:hAnsi="Times New Roman" w:cs="Times New Roman" w:hint="eastAsia"/>
          <w:sz w:val="32"/>
          <w:szCs w:val="32"/>
        </w:rPr>
        <w:t>对原有会计信息系统进行及时更新和调试，实现数据正确转换，确保新旧账套的有序衔接。</w:t>
      </w:r>
    </w:p>
    <w:p w:rsidR="004315C7" w:rsidRPr="004C064C" w:rsidRDefault="001F524C">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二、财务会计</w:t>
      </w:r>
      <w:r w:rsidR="00703280">
        <w:rPr>
          <w:rFonts w:ascii="黑体" w:eastAsia="黑体" w:hAnsi="黑体" w:cs="Times New Roman" w:hint="eastAsia"/>
          <w:bCs/>
          <w:sz w:val="32"/>
          <w:szCs w:val="32"/>
        </w:rPr>
        <w:t>科目</w:t>
      </w:r>
      <w:r w:rsidRPr="001F524C">
        <w:rPr>
          <w:rFonts w:ascii="黑体" w:eastAsia="黑体" w:hAnsi="黑体" w:cs="Times New Roman" w:hint="eastAsia"/>
          <w:bCs/>
          <w:sz w:val="32"/>
          <w:szCs w:val="32"/>
        </w:rPr>
        <w:t>的新旧衔接</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（一）将</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日原账会计科目余额转入新账财务会计科目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资产类</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bCs/>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）“库存现金”、“零余额账户用款额度”、“财政应返还额度”、</w:t>
      </w:r>
      <w:r w:rsidR="009D1CE5">
        <w:rPr>
          <w:rFonts w:ascii="Times New Roman" w:eastAsia="仿宋_GB2312" w:hAnsi="Times New Roman" w:cs="Times New Roman" w:hint="eastAsia"/>
          <w:sz w:val="32"/>
          <w:szCs w:val="32"/>
        </w:rPr>
        <w:t>“应收账款”、</w:t>
      </w:r>
      <w:r w:rsidRPr="00231900">
        <w:rPr>
          <w:rFonts w:ascii="Times New Roman" w:eastAsia="仿宋_GB2312" w:hAnsi="Times New Roman" w:cs="Times New Roman" w:hint="eastAsia"/>
          <w:sz w:val="32"/>
          <w:szCs w:val="32"/>
        </w:rPr>
        <w:t>“预付账款”、</w:t>
      </w:r>
      <w:r w:rsidRPr="001F524C">
        <w:rPr>
          <w:rFonts w:ascii="Times New Roman" w:eastAsia="仿宋_GB2312" w:hAnsi="Times New Roman" w:cs="Times New Roman" w:hint="eastAsia"/>
          <w:sz w:val="32"/>
          <w:szCs w:val="32"/>
        </w:rPr>
        <w:t>“无形资产”、“公共基础设施”、“政府储备物资”、“受托代理资产”、“待处理财产损溢”科目</w:t>
      </w:r>
    </w:p>
    <w:p w:rsidR="004315C7" w:rsidRPr="004C064C" w:rsidRDefault="001F524C">
      <w:pPr>
        <w:autoSpaceDE w:val="0"/>
        <w:autoSpaceDN w:val="0"/>
        <w:adjustRightInd w:val="0"/>
        <w:ind w:firstLineChars="221" w:firstLine="707"/>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新制度设置了“库存现金”、“零余额账户用款额度”、“财政应返还额度”、</w:t>
      </w:r>
      <w:r w:rsidR="009D1CE5">
        <w:rPr>
          <w:rFonts w:ascii="Times New Roman" w:eastAsia="仿宋_GB2312" w:hAnsi="Times New Roman" w:cs="Times New Roman" w:hint="eastAsia"/>
          <w:sz w:val="32"/>
          <w:szCs w:val="32"/>
        </w:rPr>
        <w:t>“应收账款”、</w:t>
      </w:r>
      <w:r w:rsidRPr="001F524C">
        <w:rPr>
          <w:rFonts w:ascii="Times New Roman" w:eastAsia="仿宋_GB2312" w:hAnsi="Times New Roman" w:cs="Times New Roman" w:hint="eastAsia"/>
          <w:sz w:val="32"/>
          <w:szCs w:val="32"/>
        </w:rPr>
        <w:t>“预付账款”、“无形资产”、“公共基础设施”、“政府储备物资”、“受托代理资产”、“待处理财产损溢”</w:t>
      </w:r>
      <w:r w:rsidRPr="001F524C">
        <w:rPr>
          <w:rFonts w:ascii="Times New Roman" w:eastAsia="仿宋_GB2312" w:hAnsi="Times New Roman" w:cs="Times New Roman" w:hint="eastAsia"/>
          <w:kern w:val="0"/>
          <w:sz w:val="32"/>
          <w:szCs w:val="32"/>
        </w:rPr>
        <w:t>科目，其核算内容与原账的上述相应科</w:t>
      </w:r>
      <w:r w:rsidRPr="001F524C">
        <w:rPr>
          <w:rFonts w:ascii="Times New Roman" w:eastAsia="仿宋_GB2312" w:hAnsi="Times New Roman" w:cs="Times New Roman" w:hint="eastAsia"/>
          <w:kern w:val="0"/>
          <w:sz w:val="32"/>
          <w:szCs w:val="32"/>
        </w:rPr>
        <w:lastRenderedPageBreak/>
        <w:t>目的核算内容基本相同。转账时，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应当将原账的上述科目余额直接转入新账的相应科目。其中，还应当将原账的“库存现金”科目余额中属于新制度规定受托代理资产的金额，转入新账“库存现金”科目下</w:t>
      </w:r>
      <w:r w:rsidR="00B15980">
        <w:rPr>
          <w:rFonts w:ascii="Times New Roman" w:eastAsia="仿宋_GB2312" w:hAnsi="Times New Roman" w:cs="Times New Roman" w:hint="eastAsia"/>
          <w:kern w:val="0"/>
          <w:sz w:val="32"/>
          <w:szCs w:val="32"/>
        </w:rPr>
        <w:t>的</w:t>
      </w:r>
      <w:r w:rsidRPr="001F524C">
        <w:rPr>
          <w:rFonts w:ascii="Times New Roman" w:eastAsia="仿宋_GB2312" w:hAnsi="Times New Roman" w:cs="Times New Roman" w:hint="eastAsia"/>
          <w:kern w:val="0"/>
          <w:sz w:val="32"/>
          <w:szCs w:val="32"/>
        </w:rPr>
        <w:t>“受托代理资产”明细科目。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kern w:val="0"/>
          <w:sz w:val="32"/>
          <w:szCs w:val="32"/>
        </w:rPr>
        <w:t>2</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“银行存款”科目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新制度设置了“银行存款”和“其他货币资金”科目，</w:t>
      </w:r>
      <w:r w:rsidR="00FE1E3A">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“银行存款”科目。转账时，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银行存款”科目中核算的属于新制度规定的其他货币资金的金额，转入新账的“其他货币资金”科目；将原账“银行存款”科目余额减去其中属于其他货币资金金额后的差额，转入新账的“银行存款”科目。其中，还应当将原账“银行存款”科目余额中属于新制度规定受托代理资产的金额，转入新账“银行存款”科目下的“受托代理资产”明细科目。</w:t>
      </w:r>
    </w:p>
    <w:p w:rsidR="00A735D3" w:rsidRDefault="001F524C">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009D1CE5">
        <w:rPr>
          <w:rFonts w:ascii="Times New Roman" w:eastAsia="仿宋_GB2312" w:hAnsi="Times New Roman" w:cs="Times New Roman" w:hint="eastAsia"/>
          <w:sz w:val="32"/>
          <w:szCs w:val="32"/>
        </w:rPr>
        <w:t>3</w:t>
      </w:r>
      <w:r w:rsidRPr="001F524C">
        <w:rPr>
          <w:rFonts w:ascii="Times New Roman" w:eastAsia="仿宋_GB2312" w:hAnsi="Times New Roman" w:cs="Times New Roman" w:hint="eastAsia"/>
          <w:sz w:val="32"/>
          <w:szCs w:val="32"/>
        </w:rPr>
        <w:t>）“其他应收款”科目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新制度设置了“其他应收款”科目，该科目的核算内容与原账“其他应收款”科目的核算内容基本相同。转账时，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应当将原账的“其他应收款”科目余额转入新账的“其他应收款”科目。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新制度设置了“在途物品”科目，单位在原账的“其他应收款”科目中核算了已经付款、尚未收到物资的，应当将原账的“其他应收款”科目余额中已经付款、尚未收到物资的金额，</w:t>
      </w:r>
      <w:r w:rsidRPr="001F524C">
        <w:rPr>
          <w:rFonts w:ascii="Times New Roman" w:eastAsia="仿宋_GB2312" w:hAnsi="Times New Roman" w:cs="Times New Roman" w:hint="eastAsia"/>
          <w:kern w:val="0"/>
          <w:sz w:val="32"/>
          <w:szCs w:val="32"/>
        </w:rPr>
        <w:lastRenderedPageBreak/>
        <w:t>转入新账的“在途物品”科目。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009D1CE5">
        <w:rPr>
          <w:rFonts w:ascii="Times New Roman" w:eastAsia="仿宋_GB2312" w:hAnsi="Times New Roman" w:cs="Times New Roman" w:hint="eastAsia"/>
          <w:sz w:val="32"/>
          <w:szCs w:val="32"/>
        </w:rPr>
        <w:t>4</w:t>
      </w:r>
      <w:r w:rsidRPr="001F524C">
        <w:rPr>
          <w:rFonts w:ascii="Times New Roman" w:eastAsia="仿宋_GB2312" w:hAnsi="Times New Roman" w:cs="Times New Roman" w:hint="eastAsia"/>
          <w:sz w:val="32"/>
          <w:szCs w:val="32"/>
        </w:rPr>
        <w:t>）“存货”科目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新制度设置了“库存物品”和“加工物品”科目，</w:t>
      </w:r>
      <w:r w:rsidR="00FE1E3A">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“存货”科目。转账时，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应当将原账的“存货——委托加工存货成本”科目余额转入新账的“加工物品”科目；将原账的“存货”科目余额减去</w:t>
      </w:r>
      <w:r w:rsidR="00801B3D">
        <w:rPr>
          <w:rFonts w:ascii="Times New Roman" w:eastAsia="仿宋_GB2312" w:hAnsi="Times New Roman" w:cs="Times New Roman" w:hint="eastAsia"/>
          <w:kern w:val="0"/>
          <w:sz w:val="32"/>
          <w:szCs w:val="32"/>
        </w:rPr>
        <w:t>属于</w:t>
      </w:r>
      <w:r w:rsidRPr="001F524C">
        <w:rPr>
          <w:rFonts w:ascii="Times New Roman" w:eastAsia="仿宋_GB2312" w:hAnsi="Times New Roman" w:cs="Times New Roman" w:hint="eastAsia"/>
          <w:kern w:val="0"/>
          <w:sz w:val="32"/>
          <w:szCs w:val="32"/>
        </w:rPr>
        <w:t>委托加工存货成本</w:t>
      </w:r>
      <w:r w:rsidR="00801B3D">
        <w:rPr>
          <w:rFonts w:ascii="Times New Roman" w:eastAsia="仿宋_GB2312" w:hAnsi="Times New Roman" w:cs="Times New Roman" w:hint="eastAsia"/>
          <w:kern w:val="0"/>
          <w:sz w:val="32"/>
          <w:szCs w:val="32"/>
        </w:rPr>
        <w:t>余</w:t>
      </w:r>
      <w:r w:rsidRPr="001F524C">
        <w:rPr>
          <w:rFonts w:ascii="Times New Roman" w:eastAsia="仿宋_GB2312" w:hAnsi="Times New Roman" w:cs="Times New Roman" w:hint="eastAsia"/>
          <w:kern w:val="0"/>
          <w:sz w:val="32"/>
          <w:szCs w:val="32"/>
        </w:rPr>
        <w:t>额后的差额，转入新账的“库存物品”科目。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单位在原账的“存货”科目中核算了按照新制度规定的政府储备物资的，应当将原账的“存货”科目余额中属于政府储备物资的金额，转入新账的“政府储备物资”科目。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w:t>
      </w:r>
      <w:r w:rsidR="009D1CE5">
        <w:rPr>
          <w:rFonts w:ascii="Times New Roman" w:eastAsia="仿宋_GB2312" w:hAnsi="Times New Roman" w:cs="Times New Roman" w:hint="eastAsia"/>
          <w:kern w:val="0"/>
          <w:sz w:val="32"/>
          <w:szCs w:val="32"/>
        </w:rPr>
        <w:t>5</w:t>
      </w:r>
      <w:r w:rsidRPr="001F524C">
        <w:rPr>
          <w:rFonts w:ascii="Times New Roman" w:eastAsia="仿宋_GB2312" w:hAnsi="Times New Roman" w:cs="Times New Roman" w:hint="eastAsia"/>
          <w:kern w:val="0"/>
          <w:sz w:val="32"/>
          <w:szCs w:val="32"/>
        </w:rPr>
        <w:t>）“固定资产”科目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rsidR="006A235C" w:rsidRPr="004C064C" w:rsidRDefault="001F524C" w:rsidP="006A235C">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lastRenderedPageBreak/>
        <w:t>（</w:t>
      </w:r>
      <w:r w:rsidR="009D1CE5">
        <w:rPr>
          <w:rFonts w:ascii="Times New Roman" w:eastAsia="仿宋_GB2312" w:hAnsi="Times New Roman" w:cs="Times New Roman" w:hint="eastAsia"/>
          <w:kern w:val="0"/>
          <w:sz w:val="32"/>
          <w:szCs w:val="32"/>
        </w:rPr>
        <w:t>6</w:t>
      </w:r>
      <w:r w:rsidRPr="001F524C">
        <w:rPr>
          <w:rFonts w:ascii="Times New Roman" w:eastAsia="仿宋_GB2312" w:hAnsi="Times New Roman" w:cs="Times New Roman" w:hint="eastAsia"/>
          <w:kern w:val="0"/>
          <w:sz w:val="32"/>
          <w:szCs w:val="32"/>
        </w:rPr>
        <w:t>）“累计折旧”科目</w:t>
      </w:r>
    </w:p>
    <w:p w:rsidR="00673378" w:rsidRDefault="001F524C" w:rsidP="00260243">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新制度设置了“固定资产累计折旧”</w:t>
      </w:r>
      <w:r w:rsidR="00673378" w:rsidRPr="001F524C">
        <w:rPr>
          <w:rFonts w:ascii="Times New Roman" w:eastAsia="仿宋_GB2312" w:hAnsi="Times New Roman" w:cs="Times New Roman" w:hint="eastAsia"/>
          <w:kern w:val="0"/>
          <w:sz w:val="32"/>
          <w:szCs w:val="32"/>
        </w:rPr>
        <w:t>科目</w:t>
      </w:r>
      <w:r w:rsidR="00673378">
        <w:rPr>
          <w:rFonts w:ascii="Times New Roman" w:eastAsia="仿宋_GB2312" w:hAnsi="Times New Roman" w:cs="Times New Roman" w:hint="eastAsia"/>
          <w:kern w:val="0"/>
          <w:sz w:val="32"/>
          <w:szCs w:val="32"/>
        </w:rPr>
        <w:t>，该科目的核算内容与原账</w:t>
      </w:r>
      <w:r w:rsidR="00673378" w:rsidRPr="001F524C">
        <w:rPr>
          <w:rFonts w:ascii="Times New Roman" w:eastAsia="仿宋_GB2312" w:hAnsi="Times New Roman" w:cs="Times New Roman" w:hint="eastAsia"/>
          <w:kern w:val="0"/>
          <w:sz w:val="32"/>
          <w:szCs w:val="32"/>
        </w:rPr>
        <w:t>“累计折旧——固定资产累计折旧”科目</w:t>
      </w:r>
      <w:r w:rsidR="00BE4DB2">
        <w:rPr>
          <w:rFonts w:ascii="Times New Roman" w:eastAsia="仿宋_GB2312" w:hAnsi="Times New Roman" w:cs="Times New Roman" w:hint="eastAsia"/>
          <w:kern w:val="0"/>
          <w:sz w:val="32"/>
          <w:szCs w:val="32"/>
        </w:rPr>
        <w:t>的核算内容基本相同。</w:t>
      </w:r>
      <w:r w:rsidR="00231900" w:rsidRPr="001F524C">
        <w:rPr>
          <w:rFonts w:ascii="Times New Roman" w:eastAsia="仿宋_GB2312" w:hAnsi="Times New Roman" w:cs="Times New Roman" w:hint="eastAsia"/>
          <w:kern w:val="0"/>
          <w:sz w:val="32"/>
          <w:szCs w:val="32"/>
        </w:rPr>
        <w:t>单位</w:t>
      </w:r>
      <w:r w:rsidR="00BE4DB2" w:rsidRPr="001F524C">
        <w:rPr>
          <w:rFonts w:ascii="Times New Roman" w:eastAsia="仿宋_GB2312" w:hAnsi="Times New Roman" w:cs="Times New Roman" w:hint="eastAsia"/>
          <w:kern w:val="0"/>
          <w:sz w:val="32"/>
          <w:szCs w:val="32"/>
        </w:rPr>
        <w:t>已经计提了固定资产折旧</w:t>
      </w:r>
      <w:r w:rsidR="00E87A0A">
        <w:rPr>
          <w:rFonts w:ascii="Times New Roman" w:eastAsia="仿宋_GB2312" w:hAnsi="Times New Roman" w:cs="Times New Roman" w:hint="eastAsia"/>
          <w:kern w:val="0"/>
          <w:sz w:val="32"/>
          <w:szCs w:val="32"/>
        </w:rPr>
        <w:t>并记入</w:t>
      </w:r>
      <w:r w:rsidR="00E87A0A" w:rsidRPr="001F524C">
        <w:rPr>
          <w:rFonts w:ascii="Times New Roman" w:eastAsia="仿宋_GB2312" w:hAnsi="Times New Roman" w:cs="Times New Roman" w:hint="eastAsia"/>
          <w:kern w:val="0"/>
          <w:sz w:val="32"/>
          <w:szCs w:val="32"/>
        </w:rPr>
        <w:t>“累计折旧——固定资产累计折旧”科目</w:t>
      </w:r>
      <w:r w:rsidR="00BE4DB2" w:rsidRPr="001F524C">
        <w:rPr>
          <w:rFonts w:ascii="Times New Roman" w:eastAsia="仿宋_GB2312" w:hAnsi="Times New Roman" w:cs="Times New Roman" w:hint="eastAsia"/>
          <w:kern w:val="0"/>
          <w:sz w:val="32"/>
          <w:szCs w:val="32"/>
        </w:rPr>
        <w:t>的，转账时，应当将原账的“累计折旧——固定资产累计折旧”科目余额，转入新账的“固定资产累计折旧”科目</w:t>
      </w:r>
      <w:r w:rsidR="00BE4DB2">
        <w:rPr>
          <w:rFonts w:ascii="Times New Roman" w:eastAsia="仿宋_GB2312" w:hAnsi="Times New Roman" w:cs="Times New Roman" w:hint="eastAsia"/>
          <w:kern w:val="0"/>
          <w:sz w:val="32"/>
          <w:szCs w:val="32"/>
        </w:rPr>
        <w:t>。</w:t>
      </w:r>
    </w:p>
    <w:p w:rsidR="00260243" w:rsidRPr="004C064C" w:rsidRDefault="00BE4DB2" w:rsidP="00260243">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w:t>
      </w:r>
      <w:r w:rsidR="001F524C" w:rsidRPr="001F524C">
        <w:rPr>
          <w:rFonts w:ascii="Times New Roman" w:eastAsia="仿宋_GB2312" w:hAnsi="Times New Roman" w:cs="Times New Roman" w:hint="eastAsia"/>
          <w:kern w:val="0"/>
          <w:sz w:val="32"/>
          <w:szCs w:val="32"/>
        </w:rPr>
        <w:t>“公共基础设施累计折旧（摊销）”科目，</w:t>
      </w:r>
      <w:r>
        <w:rPr>
          <w:rFonts w:ascii="Times New Roman" w:eastAsia="仿宋_GB2312" w:hAnsi="Times New Roman" w:cs="Times New Roman" w:hint="eastAsia"/>
          <w:kern w:val="0"/>
          <w:sz w:val="32"/>
          <w:szCs w:val="32"/>
        </w:rPr>
        <w:t>该</w:t>
      </w:r>
      <w:r w:rsidR="001F524C" w:rsidRPr="001F524C">
        <w:rPr>
          <w:rFonts w:ascii="Times New Roman" w:eastAsia="仿宋_GB2312" w:hAnsi="Times New Roman" w:cs="Times New Roman" w:hint="eastAsia"/>
          <w:kern w:val="0"/>
          <w:sz w:val="32"/>
          <w:szCs w:val="32"/>
        </w:rPr>
        <w:t>科目的核算内容与原账“累计折旧</w:t>
      </w:r>
      <w:r w:rsidR="00673378"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公共基础设施</w:t>
      </w:r>
      <w:r w:rsidR="00673378" w:rsidRPr="001F524C">
        <w:rPr>
          <w:rFonts w:ascii="Times New Roman" w:eastAsia="仿宋_GB2312" w:hAnsi="Times New Roman" w:cs="Times New Roman" w:hint="eastAsia"/>
          <w:kern w:val="0"/>
          <w:sz w:val="32"/>
          <w:szCs w:val="32"/>
        </w:rPr>
        <w:t>累计折旧</w:t>
      </w:r>
      <w:r w:rsidR="001F524C" w:rsidRPr="001F524C">
        <w:rPr>
          <w:rFonts w:ascii="Times New Roman" w:eastAsia="仿宋_GB2312" w:hAnsi="Times New Roman" w:cs="Times New Roman" w:hint="eastAsia"/>
          <w:kern w:val="0"/>
          <w:sz w:val="32"/>
          <w:szCs w:val="32"/>
        </w:rPr>
        <w:t>”科目的核算内容基本相同。</w:t>
      </w:r>
      <w:r w:rsidR="00231900" w:rsidRPr="001F524C">
        <w:rPr>
          <w:rFonts w:ascii="Times New Roman" w:eastAsia="仿宋_GB2312" w:hAnsi="Times New Roman" w:cs="Times New Roman" w:hint="eastAsia"/>
          <w:kern w:val="0"/>
          <w:sz w:val="32"/>
          <w:szCs w:val="32"/>
        </w:rPr>
        <w:t>单位</w:t>
      </w:r>
      <w:r w:rsidR="001F524C" w:rsidRPr="001F524C">
        <w:rPr>
          <w:rFonts w:ascii="Times New Roman" w:eastAsia="仿宋_GB2312" w:hAnsi="Times New Roman" w:cs="Times New Roman" w:hint="eastAsia"/>
          <w:kern w:val="0"/>
          <w:sz w:val="32"/>
          <w:szCs w:val="32"/>
        </w:rPr>
        <w:t>已经计提了公共基础设施折旧</w:t>
      </w:r>
      <w:r w:rsidR="00BB4F01">
        <w:rPr>
          <w:rFonts w:ascii="Times New Roman" w:eastAsia="仿宋_GB2312" w:hAnsi="Times New Roman" w:cs="Times New Roman" w:hint="eastAsia"/>
          <w:kern w:val="0"/>
          <w:sz w:val="32"/>
          <w:szCs w:val="32"/>
        </w:rPr>
        <w:t>并记入</w:t>
      </w:r>
      <w:r w:rsidR="00BB4F01" w:rsidRPr="001F524C">
        <w:rPr>
          <w:rFonts w:ascii="Times New Roman" w:eastAsia="仿宋_GB2312" w:hAnsi="Times New Roman" w:cs="Times New Roman" w:hint="eastAsia"/>
          <w:kern w:val="0"/>
          <w:sz w:val="32"/>
          <w:szCs w:val="32"/>
        </w:rPr>
        <w:t>“累计折旧——公共基础设施累计折旧”科目</w:t>
      </w:r>
      <w:r w:rsidR="001F524C" w:rsidRPr="001F524C">
        <w:rPr>
          <w:rFonts w:ascii="Times New Roman" w:eastAsia="仿宋_GB2312" w:hAnsi="Times New Roman" w:cs="Times New Roman" w:hint="eastAsia"/>
          <w:kern w:val="0"/>
          <w:sz w:val="32"/>
          <w:szCs w:val="32"/>
        </w:rPr>
        <w:t>的，转账时，应当将原账的“累计折旧——公共基础设施累计折旧”科目余额，转入新账的“公共基础设施累计折旧（摊销）”科目。</w:t>
      </w:r>
    </w:p>
    <w:p w:rsidR="006A235C" w:rsidRPr="004C064C" w:rsidRDefault="001F524C" w:rsidP="00260243">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单位在原账的“固定资产”科目中核算了按照新制度规定应当记入“公共基础设施”、“保障性住房”科目的内容，且已经计提了固定资产折旧</w:t>
      </w:r>
      <w:r w:rsidR="00E87A0A">
        <w:rPr>
          <w:rFonts w:ascii="Times New Roman" w:eastAsia="仿宋_GB2312" w:hAnsi="Times New Roman" w:cs="Times New Roman" w:hint="eastAsia"/>
          <w:kern w:val="0"/>
          <w:sz w:val="32"/>
          <w:szCs w:val="32"/>
        </w:rPr>
        <w:t>并记入</w:t>
      </w:r>
      <w:r w:rsidR="00E87A0A" w:rsidRPr="001F524C">
        <w:rPr>
          <w:rFonts w:ascii="Times New Roman" w:eastAsia="仿宋_GB2312" w:hAnsi="Times New Roman" w:cs="Times New Roman" w:hint="eastAsia"/>
          <w:kern w:val="0"/>
          <w:sz w:val="32"/>
          <w:szCs w:val="32"/>
        </w:rPr>
        <w:t>“累计折旧——固定资产累计折旧”科目</w:t>
      </w:r>
      <w:r w:rsidRPr="001F524C">
        <w:rPr>
          <w:rFonts w:ascii="Times New Roman" w:eastAsia="仿宋_GB2312" w:hAnsi="Times New Roman" w:cs="Times New Roman" w:hint="eastAsia"/>
          <w:kern w:val="0"/>
          <w:sz w:val="32"/>
          <w:szCs w:val="32"/>
        </w:rPr>
        <w:t>的，转账时，应当将原账的“累计折旧</w:t>
      </w:r>
      <w:r w:rsidR="00BE4DB2" w:rsidRPr="001F524C">
        <w:rPr>
          <w:rFonts w:ascii="Times New Roman" w:eastAsia="仿宋_GB2312" w:hAnsi="Times New Roman" w:cs="Times New Roman" w:hint="eastAsia"/>
          <w:kern w:val="0"/>
          <w:sz w:val="32"/>
          <w:szCs w:val="32"/>
        </w:rPr>
        <w:t>——固定资产累计折旧</w:t>
      </w:r>
      <w:r w:rsidRPr="001F524C">
        <w:rPr>
          <w:rFonts w:ascii="Times New Roman" w:eastAsia="仿宋_GB2312" w:hAnsi="Times New Roman" w:cs="Times New Roman" w:hint="eastAsia"/>
          <w:kern w:val="0"/>
          <w:sz w:val="32"/>
          <w:szCs w:val="32"/>
        </w:rPr>
        <w:t>”科目余额中属于公共基础设施累计折旧（摊销）、保障性住房累计折旧的金额，分别转入新账的“公共基础设施累计折旧（摊销）”、“保障性住房累计折旧”科目。</w:t>
      </w:r>
    </w:p>
    <w:p w:rsidR="004315C7" w:rsidRPr="004C064C" w:rsidRDefault="001F524C">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w:t>
      </w:r>
      <w:r w:rsidR="009D1CE5">
        <w:rPr>
          <w:rFonts w:ascii="Times New Roman" w:eastAsia="仿宋_GB2312" w:hAnsi="Times New Roman" w:cs="Times New Roman" w:hint="eastAsia"/>
          <w:kern w:val="0"/>
          <w:sz w:val="32"/>
          <w:szCs w:val="32"/>
        </w:rPr>
        <w:t>7</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“在建工程”科目</w:t>
      </w:r>
    </w:p>
    <w:p w:rsidR="004315C7" w:rsidRDefault="001F524C" w:rsidP="00E87A0A">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lastRenderedPageBreak/>
        <w:t>新制度设置了“在建工程”、“工程物资”</w:t>
      </w:r>
      <w:r w:rsidR="007521C6">
        <w:rPr>
          <w:rFonts w:ascii="Times New Roman" w:eastAsia="仿宋_GB2312" w:hAnsi="Times New Roman" w:cs="Times New Roman" w:hint="eastAsia"/>
          <w:kern w:val="0"/>
          <w:sz w:val="32"/>
          <w:szCs w:val="32"/>
        </w:rPr>
        <w:t>和“预付账款——预付备料款、预付工程款”</w:t>
      </w:r>
      <w:r w:rsidRPr="001F524C">
        <w:rPr>
          <w:rFonts w:ascii="Times New Roman" w:eastAsia="仿宋_GB2312" w:hAnsi="Times New Roman" w:cs="Times New Roman" w:hint="eastAsia"/>
          <w:kern w:val="0"/>
          <w:sz w:val="32"/>
          <w:szCs w:val="32"/>
        </w:rPr>
        <w:t>科目，</w:t>
      </w:r>
      <w:r w:rsidR="00E87A0A">
        <w:rPr>
          <w:rFonts w:ascii="Times New Roman" w:eastAsia="仿宋_GB2312" w:hAnsi="Times New Roman" w:cs="Times New Roman" w:hint="eastAsia"/>
          <w:kern w:val="0"/>
          <w:sz w:val="32"/>
          <w:szCs w:val="32"/>
        </w:rPr>
        <w:t>原制度设置了</w:t>
      </w:r>
      <w:r w:rsidR="00E87A0A" w:rsidRPr="001F524C">
        <w:rPr>
          <w:rFonts w:ascii="Times New Roman" w:eastAsia="仿宋_GB2312" w:hAnsi="Times New Roman" w:cs="Times New Roman" w:hint="eastAsia"/>
          <w:kern w:val="0"/>
          <w:sz w:val="32"/>
          <w:szCs w:val="32"/>
        </w:rPr>
        <w:t>“在建工程”科目</w:t>
      </w:r>
      <w:r w:rsidR="00E87A0A">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应当将原账的“在建工程”科目余额</w:t>
      </w:r>
      <w:r w:rsidR="00E87A0A">
        <w:rPr>
          <w:rFonts w:ascii="Times New Roman" w:eastAsia="仿宋_GB2312" w:hAnsi="Times New Roman" w:cs="Times New Roman" w:hint="eastAsia"/>
          <w:kern w:val="0"/>
          <w:sz w:val="32"/>
          <w:szCs w:val="32"/>
        </w:rPr>
        <w:t>（基建“并账”后</w:t>
      </w:r>
      <w:r w:rsidR="006F7361">
        <w:rPr>
          <w:rFonts w:ascii="Times New Roman" w:eastAsia="仿宋_GB2312" w:hAnsi="Times New Roman" w:cs="Times New Roman" w:hint="eastAsia"/>
          <w:kern w:val="0"/>
          <w:sz w:val="32"/>
          <w:szCs w:val="32"/>
        </w:rPr>
        <w:t>的金额</w:t>
      </w:r>
      <w:r w:rsidR="00E87A0A">
        <w:rPr>
          <w:rFonts w:ascii="Times New Roman" w:eastAsia="仿宋_GB2312" w:hAnsi="Times New Roman" w:cs="Times New Roman" w:hint="eastAsia"/>
          <w:kern w:val="0"/>
          <w:sz w:val="32"/>
          <w:szCs w:val="32"/>
        </w:rPr>
        <w:t>，下同）</w:t>
      </w:r>
      <w:r w:rsidRPr="001F524C">
        <w:rPr>
          <w:rFonts w:ascii="Times New Roman" w:eastAsia="仿宋_GB2312" w:hAnsi="Times New Roman" w:cs="Times New Roman" w:hint="eastAsia"/>
          <w:kern w:val="0"/>
          <w:sz w:val="32"/>
          <w:szCs w:val="32"/>
        </w:rPr>
        <w:t>中属于工程物资的金额，转入新账的“工程物资”科目；</w:t>
      </w:r>
      <w:r w:rsidR="007521C6">
        <w:rPr>
          <w:rFonts w:ascii="Times New Roman" w:eastAsia="仿宋_GB2312" w:hAnsi="Times New Roman" w:cs="Times New Roman" w:hint="eastAsia"/>
          <w:kern w:val="0"/>
          <w:sz w:val="32"/>
          <w:szCs w:val="32"/>
        </w:rPr>
        <w:t>将原账</w:t>
      </w:r>
      <w:r w:rsidR="007521C6" w:rsidRPr="001F524C">
        <w:rPr>
          <w:rFonts w:ascii="Times New Roman" w:eastAsia="仿宋_GB2312" w:hAnsi="Times New Roman" w:cs="Times New Roman" w:hint="eastAsia"/>
          <w:kern w:val="0"/>
          <w:sz w:val="32"/>
          <w:szCs w:val="32"/>
        </w:rPr>
        <w:t>“在建工程”科目余额中</w:t>
      </w:r>
      <w:r w:rsidR="007521C6">
        <w:rPr>
          <w:rFonts w:ascii="Times New Roman" w:eastAsia="仿宋_GB2312" w:hAnsi="Times New Roman" w:cs="Times New Roman" w:hint="eastAsia"/>
          <w:kern w:val="0"/>
          <w:sz w:val="32"/>
          <w:szCs w:val="32"/>
        </w:rPr>
        <w:t>属于预付备料款、预付工程款的金额，转入新账“预付账款”相关明细科目；</w:t>
      </w:r>
      <w:r w:rsidRPr="001F524C">
        <w:rPr>
          <w:rFonts w:ascii="Times New Roman" w:eastAsia="仿宋_GB2312" w:hAnsi="Times New Roman" w:cs="Times New Roman" w:hint="eastAsia"/>
          <w:kern w:val="0"/>
          <w:sz w:val="32"/>
          <w:szCs w:val="32"/>
        </w:rPr>
        <w:t>将原账的“在建工程”科目余额减去工程物资</w:t>
      </w:r>
      <w:r w:rsidR="007521C6">
        <w:rPr>
          <w:rFonts w:ascii="Times New Roman" w:eastAsia="仿宋_GB2312" w:hAnsi="Times New Roman" w:cs="Times New Roman" w:hint="eastAsia"/>
          <w:kern w:val="0"/>
          <w:sz w:val="32"/>
          <w:szCs w:val="32"/>
        </w:rPr>
        <w:t>和预付备料款、预付工程款</w:t>
      </w:r>
      <w:r w:rsidRPr="001F524C">
        <w:rPr>
          <w:rFonts w:ascii="Times New Roman" w:eastAsia="仿宋_GB2312" w:hAnsi="Times New Roman" w:cs="Times New Roman" w:hint="eastAsia"/>
          <w:kern w:val="0"/>
          <w:sz w:val="32"/>
          <w:szCs w:val="32"/>
        </w:rPr>
        <w:t>金额后的差额，转入新账的“在建工程”科目。</w:t>
      </w:r>
    </w:p>
    <w:p w:rsidR="00CC45D0" w:rsidRPr="004C064C" w:rsidRDefault="001F524C" w:rsidP="00CC45D0">
      <w:pPr>
        <w:autoSpaceDE w:val="0"/>
        <w:autoSpaceDN w:val="0"/>
        <w:adjustRightInd w:val="0"/>
        <w:ind w:firstLineChars="202" w:firstLine="646"/>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w:t>
      </w:r>
      <w:r w:rsidR="009D1CE5">
        <w:rPr>
          <w:rFonts w:ascii="Times New Roman" w:eastAsia="仿宋_GB2312" w:hAnsi="Times New Roman" w:cs="Times New Roman" w:hint="eastAsia"/>
          <w:kern w:val="0"/>
          <w:sz w:val="32"/>
          <w:szCs w:val="32"/>
        </w:rPr>
        <w:t>8</w:t>
      </w:r>
      <w:r w:rsidRPr="001F524C">
        <w:rPr>
          <w:rFonts w:ascii="Times New Roman" w:eastAsia="仿宋_GB2312" w:hAnsi="Times New Roman" w:cs="Times New Roman" w:hint="eastAsia"/>
          <w:kern w:val="0"/>
          <w:sz w:val="32"/>
          <w:szCs w:val="32"/>
        </w:rPr>
        <w:t>）“累计摊销”科目</w:t>
      </w:r>
    </w:p>
    <w:p w:rsidR="00CC45D0" w:rsidRPr="004C064C" w:rsidRDefault="001F524C" w:rsidP="00CC45D0">
      <w:pPr>
        <w:ind w:firstLine="420"/>
        <w:rPr>
          <w:rFonts w:ascii="Times New Roman" w:eastAsia="仿宋_GB2312" w:hAnsi="Times New Roman" w:cs="Times New Roman"/>
          <w:kern w:val="0"/>
          <w:sz w:val="32"/>
          <w:szCs w:val="32"/>
        </w:rPr>
      </w:pPr>
      <w:r w:rsidRPr="001F524C">
        <w:rPr>
          <w:rFonts w:ascii="Times New Roman" w:eastAsia="仿宋_GB2312" w:hAnsi="Times New Roman" w:cs="Times New Roman"/>
          <w:kern w:val="0"/>
          <w:sz w:val="32"/>
          <w:szCs w:val="32"/>
        </w:rPr>
        <w:t xml:space="preserve"> </w:t>
      </w:r>
      <w:r w:rsidRPr="001F524C">
        <w:rPr>
          <w:rFonts w:ascii="Times New Roman" w:eastAsia="仿宋_GB2312" w:hAnsi="Times New Roman" w:cs="Times New Roman" w:hint="eastAsia"/>
          <w:kern w:val="0"/>
          <w:sz w:val="32"/>
          <w:szCs w:val="32"/>
        </w:rPr>
        <w:t>新制度设置了“无形资产累计摊销”科目，该科目的核算内容与原账“累计摊销”科目的核算内容基本相同。</w:t>
      </w:r>
      <w:r w:rsidR="00231900" w:rsidRPr="001F524C">
        <w:rPr>
          <w:rFonts w:ascii="Times New Roman" w:eastAsia="仿宋_GB2312" w:hAnsi="Times New Roman" w:cs="Times New Roman" w:hint="eastAsia"/>
          <w:kern w:val="0"/>
          <w:sz w:val="32"/>
          <w:szCs w:val="32"/>
        </w:rPr>
        <w:t>单位</w:t>
      </w:r>
      <w:r w:rsidR="001824BE" w:rsidRPr="001F524C">
        <w:rPr>
          <w:rFonts w:ascii="Times New Roman" w:eastAsia="仿宋_GB2312" w:hAnsi="Times New Roman" w:cs="Times New Roman" w:hint="eastAsia"/>
          <w:kern w:val="0"/>
          <w:sz w:val="32"/>
          <w:szCs w:val="32"/>
        </w:rPr>
        <w:t>已经计提了无形资产摊销的</w:t>
      </w:r>
      <w:r w:rsidR="00231900">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转账时，应当将原账的“累计摊销”科目余额，转入新账的“无形资产累计摊销”科目。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负债类</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w:t>
      </w:r>
      <w:r w:rsidR="001824BE" w:rsidRPr="001F524C">
        <w:rPr>
          <w:rFonts w:ascii="Times New Roman" w:eastAsia="仿宋_GB2312" w:hAnsi="Times New Roman" w:cs="Times New Roman" w:hint="eastAsia"/>
          <w:sz w:val="32"/>
          <w:szCs w:val="32"/>
        </w:rPr>
        <w:t>“应缴财政款”、</w:t>
      </w:r>
      <w:r w:rsidRPr="001F524C">
        <w:rPr>
          <w:rFonts w:ascii="Times New Roman" w:eastAsia="仿宋_GB2312" w:hAnsi="Times New Roman" w:cs="Times New Roman" w:hint="eastAsia"/>
          <w:sz w:val="32"/>
          <w:szCs w:val="32"/>
        </w:rPr>
        <w:t>“应付职工薪酬”、“应付政府补贴款”、“其他应付款”、“长期应付款”、“受托代理负债”科目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w:t>
      </w:r>
      <w:r w:rsidR="001824BE" w:rsidRPr="001F524C">
        <w:rPr>
          <w:rFonts w:ascii="Times New Roman" w:eastAsia="仿宋_GB2312" w:hAnsi="Times New Roman" w:cs="Times New Roman" w:hint="eastAsia"/>
          <w:sz w:val="32"/>
          <w:szCs w:val="32"/>
        </w:rPr>
        <w:t>“应缴财政款”、</w:t>
      </w:r>
      <w:r w:rsidRPr="001F524C">
        <w:rPr>
          <w:rFonts w:ascii="Times New Roman" w:eastAsia="仿宋_GB2312" w:hAnsi="Times New Roman" w:cs="Times New Roman" w:hint="eastAsia"/>
          <w:sz w:val="32"/>
          <w:szCs w:val="32"/>
        </w:rPr>
        <w:t>“应付职工薪酬”、“应付政府补贴款”、“其他应付款”、“长期应付款”、“受托代理负债”科目，</w:t>
      </w:r>
      <w:r w:rsidRPr="001F524C">
        <w:rPr>
          <w:rFonts w:ascii="Times New Roman" w:eastAsia="仿宋_GB2312" w:hAnsi="Times New Roman" w:cs="Times New Roman" w:hint="eastAsia"/>
          <w:kern w:val="0"/>
          <w:sz w:val="32"/>
          <w:szCs w:val="32"/>
        </w:rPr>
        <w:t>其核算内容与原账的上述相应科目的核算内容基本相同。转账时，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应当将原账的上述科目余额直接转入新账的相应科目。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）“应缴税费”科目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新制度设置了“应交增值税”</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kern w:val="0"/>
          <w:sz w:val="32"/>
          <w:szCs w:val="32"/>
        </w:rPr>
        <w:t>“其他应交税费”科目，</w:t>
      </w:r>
      <w:r w:rsidR="00E87A0A">
        <w:rPr>
          <w:rFonts w:ascii="Times New Roman" w:eastAsia="仿宋_GB2312" w:hAnsi="Times New Roman" w:cs="Times New Roman" w:hint="eastAsia"/>
          <w:kern w:val="0"/>
          <w:sz w:val="32"/>
          <w:szCs w:val="32"/>
        </w:rPr>
        <w:t>原制度设置了</w:t>
      </w:r>
      <w:r w:rsidRPr="001F524C">
        <w:rPr>
          <w:rFonts w:ascii="Times New Roman" w:eastAsia="仿宋_GB2312" w:hAnsi="Times New Roman" w:cs="Times New Roman" w:hint="eastAsia"/>
          <w:kern w:val="0"/>
          <w:sz w:val="32"/>
          <w:szCs w:val="32"/>
        </w:rPr>
        <w:t>“应缴税费”科目。转账时，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应当将原账的“应缴税费——应缴增值税”科目余额转入新账“应交增值税”科目</w:t>
      </w:r>
      <w:r w:rsidR="00E87A0A">
        <w:rPr>
          <w:rFonts w:ascii="Times New Roman" w:eastAsia="仿宋_GB2312" w:hAnsi="Times New Roman" w:cs="Times New Roman" w:hint="eastAsia"/>
          <w:kern w:val="0"/>
          <w:sz w:val="32"/>
          <w:szCs w:val="32"/>
        </w:rPr>
        <w:t>中的相关明细科目</w:t>
      </w:r>
      <w:r w:rsidRPr="001F524C">
        <w:rPr>
          <w:rFonts w:ascii="Times New Roman" w:eastAsia="仿宋_GB2312" w:hAnsi="Times New Roman" w:cs="Times New Roman" w:hint="eastAsia"/>
          <w:kern w:val="0"/>
          <w:sz w:val="32"/>
          <w:szCs w:val="32"/>
        </w:rPr>
        <w:t>；将原账的“应缴税费”科目余额减去属于应交增值税余额后的差额，转入新账的“其他应交税费”科目。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）“应付账款”科目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新制度设置了“应付账款”科目，该科目的核算内容与原账</w:t>
      </w:r>
      <w:r w:rsidRPr="001F524C">
        <w:rPr>
          <w:rFonts w:ascii="Times New Roman" w:eastAsia="仿宋_GB2312" w:hAnsi="Times New Roman" w:cs="Times New Roman" w:hint="eastAsia"/>
          <w:sz w:val="32"/>
          <w:szCs w:val="32"/>
        </w:rPr>
        <w:t>“应付账款”</w:t>
      </w:r>
      <w:r w:rsidRPr="001F524C">
        <w:rPr>
          <w:rFonts w:ascii="Times New Roman" w:eastAsia="仿宋_GB2312" w:hAnsi="Times New Roman" w:cs="Times New Roman" w:hint="eastAsia"/>
          <w:kern w:val="0"/>
          <w:sz w:val="32"/>
          <w:szCs w:val="32"/>
        </w:rPr>
        <w:t>科目的核算内容基本相同</w:t>
      </w:r>
      <w:r w:rsidR="001824BE">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但是</w:t>
      </w:r>
      <w:r w:rsidR="001824BE">
        <w:rPr>
          <w:rFonts w:ascii="Times New Roman" w:eastAsia="仿宋_GB2312" w:hAnsi="Times New Roman" w:cs="Times New Roman" w:hint="eastAsia"/>
          <w:kern w:val="0"/>
          <w:sz w:val="32"/>
          <w:szCs w:val="32"/>
        </w:rPr>
        <w:t>不再核算</w:t>
      </w:r>
      <w:r w:rsidRPr="001F524C">
        <w:rPr>
          <w:rFonts w:ascii="Times New Roman" w:eastAsia="仿宋_GB2312" w:hAnsi="Times New Roman" w:cs="Times New Roman" w:hint="eastAsia"/>
          <w:kern w:val="0"/>
          <w:sz w:val="32"/>
          <w:szCs w:val="32"/>
        </w:rPr>
        <w:t>应付质量保证金</w:t>
      </w:r>
      <w:r w:rsidR="00231900">
        <w:rPr>
          <w:rFonts w:ascii="Times New Roman" w:eastAsia="仿宋_GB2312" w:hAnsi="Times New Roman" w:cs="Times New Roman" w:hint="eastAsia"/>
          <w:kern w:val="0"/>
          <w:sz w:val="32"/>
          <w:szCs w:val="32"/>
        </w:rPr>
        <w:t>，</w:t>
      </w:r>
      <w:r w:rsidR="001824BE">
        <w:rPr>
          <w:rFonts w:ascii="Times New Roman" w:eastAsia="仿宋_GB2312" w:hAnsi="Times New Roman" w:cs="Times New Roman" w:hint="eastAsia"/>
          <w:kern w:val="0"/>
          <w:sz w:val="32"/>
          <w:szCs w:val="32"/>
        </w:rPr>
        <w:t>应付质量保证金</w:t>
      </w:r>
      <w:r w:rsidRPr="001F524C">
        <w:rPr>
          <w:rFonts w:ascii="Times New Roman" w:eastAsia="仿宋_GB2312" w:hAnsi="Times New Roman" w:cs="Times New Roman" w:hint="eastAsia"/>
          <w:kern w:val="0"/>
          <w:sz w:val="32"/>
          <w:szCs w:val="32"/>
        </w:rPr>
        <w:t>改在新账的“其他应付款”科目核算。转账时，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应付账款”科目余额中属于尚未支付质量保证金的余额，转入新账的“其他应付款”科目；将原账的“应付账款”科目余额减去其中属于尚未支付质量保证金的余额后的差额，转入新账的“应付账款”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净资产类</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）“财政拨款结转”、“财政拨款结余”、“其他资金结转结余”科目</w:t>
      </w:r>
    </w:p>
    <w:p w:rsidR="004315C7" w:rsidRPr="004C064C"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新制度设置了“累计盈余”科目，该科目的余额包含了原账的“财政拨款结转”、“财政拨款结余”、“其他资金结转结余”科目</w:t>
      </w:r>
      <w:r w:rsidRPr="001F524C">
        <w:rPr>
          <w:rFonts w:ascii="Times New Roman" w:eastAsia="仿宋_GB2312" w:hAnsi="Times New Roman" w:cs="Times New Roman" w:hint="eastAsia"/>
          <w:kern w:val="0"/>
          <w:sz w:val="32"/>
          <w:szCs w:val="32"/>
        </w:rPr>
        <w:t>的余额内容。转账时，</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应当将原账的</w:t>
      </w:r>
      <w:r w:rsidRPr="001F524C">
        <w:rPr>
          <w:rFonts w:ascii="Times New Roman" w:eastAsia="仿宋_GB2312" w:hAnsi="Times New Roman" w:cs="Times New Roman" w:hint="eastAsia"/>
          <w:sz w:val="32"/>
          <w:szCs w:val="32"/>
        </w:rPr>
        <w:t>“财政拨款结转”、“财政拨款结余”、“其他资金结转结余”科目</w:t>
      </w:r>
      <w:r w:rsidRPr="001F524C">
        <w:rPr>
          <w:rFonts w:ascii="Times New Roman" w:eastAsia="仿宋_GB2312" w:hAnsi="Times New Roman" w:cs="Times New Roman" w:hint="eastAsia"/>
          <w:kern w:val="0"/>
          <w:sz w:val="32"/>
          <w:szCs w:val="32"/>
        </w:rPr>
        <w:t>余额，转入新账</w:t>
      </w:r>
      <w:r w:rsidRPr="001F524C">
        <w:rPr>
          <w:rFonts w:ascii="Times New Roman" w:eastAsia="仿宋_GB2312" w:hAnsi="Times New Roman" w:cs="Times New Roman" w:hint="eastAsia"/>
          <w:kern w:val="0"/>
          <w:sz w:val="32"/>
          <w:szCs w:val="32"/>
        </w:rPr>
        <w:lastRenderedPageBreak/>
        <w:t>的“累计盈余”科目。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）“资产基金”</w:t>
      </w:r>
      <w:r w:rsidR="001824BE">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“待偿债净资产”科目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依据新制度，</w:t>
      </w:r>
      <w:r w:rsidR="00231900">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无需对原制度中“资产基金”、“待偿债净资产”科目对应的内容进行核算。</w:t>
      </w:r>
      <w:r w:rsidRPr="001F524C">
        <w:rPr>
          <w:rFonts w:ascii="Times New Roman" w:eastAsia="仿宋_GB2312" w:hAnsi="Times New Roman" w:cs="Times New Roman" w:hint="eastAsia"/>
          <w:kern w:val="0"/>
          <w:sz w:val="32"/>
          <w:szCs w:val="32"/>
        </w:rPr>
        <w:t>转账时，</w:t>
      </w:r>
      <w:r w:rsidR="000076B4">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应当将原账</w:t>
      </w:r>
      <w:r w:rsidRPr="001F524C">
        <w:rPr>
          <w:rFonts w:ascii="Times New Roman" w:eastAsia="仿宋_GB2312" w:hAnsi="Times New Roman" w:cs="Times New Roman" w:hint="eastAsia"/>
          <w:sz w:val="32"/>
          <w:szCs w:val="32"/>
        </w:rPr>
        <w:t>“资产基金”</w:t>
      </w:r>
      <w:r w:rsidRPr="001F524C">
        <w:rPr>
          <w:rFonts w:ascii="Times New Roman" w:eastAsia="仿宋_GB2312" w:hAnsi="Times New Roman" w:cs="Times New Roman" w:hint="eastAsia"/>
          <w:kern w:val="0"/>
          <w:sz w:val="32"/>
          <w:szCs w:val="32"/>
        </w:rPr>
        <w:t>科目贷方余额转入新账的“累计盈余”科</w:t>
      </w:r>
      <w:r w:rsidRPr="001F524C">
        <w:rPr>
          <w:rFonts w:ascii="Times New Roman" w:eastAsia="仿宋_GB2312" w:hAnsi="Times New Roman" w:cs="Times New Roman" w:hint="eastAsia"/>
          <w:sz w:val="32"/>
          <w:szCs w:val="32"/>
        </w:rPr>
        <w:t>目贷方，</w:t>
      </w:r>
      <w:r w:rsidRPr="001F524C">
        <w:rPr>
          <w:rFonts w:ascii="Times New Roman" w:eastAsia="仿宋_GB2312" w:hAnsi="Times New Roman" w:cs="Times New Roman" w:hint="eastAsia"/>
          <w:kern w:val="0"/>
          <w:sz w:val="32"/>
          <w:szCs w:val="32"/>
        </w:rPr>
        <w:t>将原账的</w:t>
      </w:r>
      <w:r w:rsidRPr="001F524C">
        <w:rPr>
          <w:rFonts w:ascii="Times New Roman" w:eastAsia="仿宋_GB2312" w:hAnsi="Times New Roman" w:cs="Times New Roman" w:hint="eastAsia"/>
          <w:sz w:val="32"/>
          <w:szCs w:val="32"/>
        </w:rPr>
        <w:t>“待偿债净资产”科目借方余额转入新账的“累计盈余”科目借方。</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 xml:space="preserve"> 4.</w:t>
      </w:r>
      <w:r w:rsidRPr="001F524C">
        <w:rPr>
          <w:rFonts w:ascii="Times New Roman" w:eastAsia="仿宋_GB2312" w:hAnsi="Times New Roman" w:cs="Times New Roman" w:hint="eastAsia"/>
          <w:sz w:val="32"/>
          <w:szCs w:val="32"/>
        </w:rPr>
        <w:t>收入类、支出类</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由于原账中收入类、支出类科目年末无余额，</w:t>
      </w:r>
      <w:r w:rsidR="00231900">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无需进行转账处理。自</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日起，</w:t>
      </w:r>
      <w:r w:rsidR="001824BE">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sz w:val="32"/>
          <w:szCs w:val="32"/>
        </w:rPr>
        <w:t>应当按照新制度设置收入类、费用类科目并进行账务处理。</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单位存在其他本规定未列举的原账科目余额的，应当比照本规定转入新账的相应科目。新账科目设有明细科目的，应当对原账中对应科目的余额加以分析，分别转入新账中相应科目的相关明细科目。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单位在进行新旧衔接的转账时，应当编制转账的工作分录，作为转账的工作底稿，并将转入新账的对应原账户余额及分拆原账户余额的依据作为原始凭证。</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（二）将原未入账事项登记新账财务会计科目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在途物品、政府储备物资、公共基础设施、</w:t>
      </w:r>
      <w:r w:rsidRPr="001F524C">
        <w:rPr>
          <w:rFonts w:ascii="Times New Roman" w:eastAsia="仿宋_GB2312" w:hAnsi="Times New Roman" w:cs="Times New Roman" w:hint="eastAsia"/>
          <w:kern w:val="0"/>
          <w:sz w:val="32"/>
          <w:szCs w:val="32"/>
        </w:rPr>
        <w:t>文物文化资产、保障性住房</w:t>
      </w:r>
    </w:p>
    <w:p w:rsidR="004315C7"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日前未</w:t>
      </w:r>
      <w:r w:rsidRPr="001F524C">
        <w:rPr>
          <w:rFonts w:ascii="Times New Roman" w:eastAsia="仿宋_GB2312" w:hAnsi="Times New Roman" w:cs="Times New Roman" w:hint="eastAsia"/>
          <w:kern w:val="0"/>
          <w:sz w:val="32"/>
          <w:szCs w:val="32"/>
        </w:rPr>
        <w:lastRenderedPageBreak/>
        <w:t>入账的在途物品、</w:t>
      </w:r>
      <w:r w:rsidRPr="001F524C">
        <w:rPr>
          <w:rFonts w:ascii="Times New Roman" w:eastAsia="仿宋_GB2312" w:hAnsi="Times New Roman" w:cs="Times New Roman" w:hint="eastAsia"/>
          <w:sz w:val="32"/>
          <w:szCs w:val="32"/>
        </w:rPr>
        <w:t>政府储备物资、公共基础设施、</w:t>
      </w:r>
      <w:r w:rsidRPr="001F524C">
        <w:rPr>
          <w:rFonts w:ascii="Times New Roman" w:eastAsia="仿宋_GB2312" w:hAnsi="Times New Roman" w:cs="Times New Roman" w:hint="eastAsia"/>
          <w:kern w:val="0"/>
          <w:sz w:val="32"/>
          <w:szCs w:val="32"/>
        </w:rPr>
        <w:t>文物文化资产、保障性住房按照新制度规定记入新账。登记新账时，按照确定的在途物品、</w:t>
      </w:r>
      <w:r w:rsidRPr="001F524C">
        <w:rPr>
          <w:rFonts w:ascii="Times New Roman" w:eastAsia="仿宋_GB2312" w:hAnsi="Times New Roman" w:cs="Times New Roman" w:hint="eastAsia"/>
          <w:sz w:val="32"/>
          <w:szCs w:val="32"/>
        </w:rPr>
        <w:t>政府储备物资、公共基础设施、</w:t>
      </w:r>
      <w:r w:rsidRPr="001F524C">
        <w:rPr>
          <w:rFonts w:ascii="Times New Roman" w:eastAsia="仿宋_GB2312" w:hAnsi="Times New Roman" w:cs="Times New Roman" w:hint="eastAsia"/>
          <w:kern w:val="0"/>
          <w:sz w:val="32"/>
          <w:szCs w:val="32"/>
        </w:rPr>
        <w:t>文物文化资产、保障性住房初始入账成本，分别借记“在途物品”、“政府储备物资”、“公共基础设施”、</w:t>
      </w:r>
      <w:r w:rsidR="00F01B7D"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kern w:val="0"/>
          <w:sz w:val="32"/>
          <w:szCs w:val="32"/>
        </w:rPr>
        <w:t>文物文化资产”、“保障性住房”科目，贷记“累计盈余”科目。</w:t>
      </w:r>
    </w:p>
    <w:p w:rsidR="001630F5" w:rsidRPr="004C064C" w:rsidRDefault="001630F5">
      <w:pPr>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单位对于登记新账时首次确认的公共基础设施、保障性住房，应当于</w:t>
      </w:r>
      <w:r>
        <w:rPr>
          <w:rFonts w:ascii="Times New Roman" w:eastAsia="仿宋_GB2312" w:hAnsi="Times New Roman" w:cs="Times New Roman" w:hint="eastAsia"/>
          <w:kern w:val="0"/>
          <w:sz w:val="32"/>
          <w:szCs w:val="32"/>
        </w:rPr>
        <w:t>2019</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日以后，按照其在登记新账时确定的成本和</w:t>
      </w:r>
      <w:r w:rsidR="0044777D">
        <w:rPr>
          <w:rFonts w:ascii="Times New Roman" w:eastAsia="仿宋_GB2312" w:hAnsi="Times New Roman" w:cs="Times New Roman" w:hint="eastAsia"/>
          <w:kern w:val="0"/>
          <w:sz w:val="32"/>
          <w:szCs w:val="32"/>
        </w:rPr>
        <w:t>尚可使用</w:t>
      </w:r>
      <w:r>
        <w:rPr>
          <w:rFonts w:ascii="Times New Roman" w:eastAsia="仿宋_GB2312" w:hAnsi="Times New Roman" w:cs="Times New Roman" w:hint="eastAsia"/>
          <w:kern w:val="0"/>
          <w:sz w:val="32"/>
          <w:szCs w:val="32"/>
        </w:rPr>
        <w:t>年限计提折旧（摊销）。</w:t>
      </w:r>
    </w:p>
    <w:p w:rsidR="004315C7" w:rsidRPr="004C064C" w:rsidRDefault="001F524C" w:rsidP="00C34F52">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kern w:val="0"/>
          <w:sz w:val="32"/>
          <w:szCs w:val="32"/>
        </w:rPr>
        <w:t>2.</w:t>
      </w:r>
      <w:r w:rsidRPr="001F524C">
        <w:rPr>
          <w:rFonts w:ascii="Times New Roman" w:eastAsia="仿宋_GB2312" w:hAnsi="Times New Roman" w:cs="Times New Roman" w:hint="eastAsia"/>
          <w:sz w:val="32"/>
          <w:szCs w:val="32"/>
        </w:rPr>
        <w:t>受托代理资产</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hint="eastAsia"/>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hint="eastAsia"/>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hint="eastAsia"/>
          <w:kern w:val="0"/>
          <w:sz w:val="32"/>
          <w:szCs w:val="32"/>
        </w:rPr>
        <w:t>日前未入账的受托代理物资按照新制度规定记入新账。登记新账时，按照确定的受托代理物资成本，借记“受托代理资产”科目，贷记“受托代理负债”科目。</w:t>
      </w:r>
    </w:p>
    <w:p w:rsidR="004315C7" w:rsidRPr="004C064C" w:rsidRDefault="001F524C" w:rsidP="00BB2996">
      <w:pPr>
        <w:ind w:firstLineChars="200" w:firstLine="640"/>
        <w:rPr>
          <w:rFonts w:ascii="Times New Roman" w:eastAsia="仿宋_GB2312" w:hAnsi="Times New Roman" w:cs="Times New Roman"/>
          <w:kern w:val="0"/>
          <w:sz w:val="32"/>
          <w:szCs w:val="32"/>
        </w:rPr>
      </w:pPr>
      <w:r w:rsidRPr="001F524C">
        <w:rPr>
          <w:rFonts w:ascii="Times New Roman" w:eastAsia="仿宋_GB2312" w:hAnsi="Times New Roman" w:cs="Times New Roman"/>
          <w:sz w:val="32"/>
          <w:szCs w:val="32"/>
        </w:rPr>
        <w:t>3</w:t>
      </w:r>
      <w:r w:rsidRPr="001F524C">
        <w:rPr>
          <w:rFonts w:ascii="Times New Roman" w:eastAsia="仿宋_GB2312" w:hAnsi="Times New Roman" w:cs="Times New Roman"/>
          <w:kern w:val="0"/>
          <w:sz w:val="32"/>
          <w:szCs w:val="32"/>
        </w:rPr>
        <w:t>.</w:t>
      </w:r>
      <w:r w:rsidRPr="001F524C">
        <w:rPr>
          <w:rFonts w:ascii="Times New Roman" w:eastAsia="仿宋_GB2312" w:hAnsi="Times New Roman" w:cs="Times New Roman" w:hint="eastAsia"/>
          <w:kern w:val="0"/>
          <w:sz w:val="32"/>
          <w:szCs w:val="32"/>
        </w:rPr>
        <w:t>盘盈资产</w:t>
      </w:r>
    </w:p>
    <w:p w:rsidR="00623920" w:rsidRPr="004C064C" w:rsidRDefault="001F524C" w:rsidP="00623920">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kern w:val="0"/>
          <w:sz w:val="32"/>
          <w:szCs w:val="32"/>
        </w:rPr>
        <w:t>日前未入账的盘盈资产按照新制度规定记入新账。登记新账时，按照确定的盘盈资产及其</w:t>
      </w:r>
      <w:r w:rsidR="001630F5">
        <w:rPr>
          <w:rFonts w:ascii="Times New Roman" w:eastAsia="仿宋_GB2312" w:hAnsi="Times New Roman" w:cs="Times New Roman" w:hint="eastAsia"/>
          <w:kern w:val="0"/>
          <w:sz w:val="32"/>
          <w:szCs w:val="32"/>
        </w:rPr>
        <w:t>成本</w:t>
      </w:r>
      <w:r w:rsidRPr="001F524C">
        <w:rPr>
          <w:rFonts w:ascii="Times New Roman" w:eastAsia="仿宋_GB2312" w:hAnsi="Times New Roman" w:cs="Times New Roman"/>
          <w:kern w:val="0"/>
          <w:sz w:val="32"/>
          <w:szCs w:val="32"/>
        </w:rPr>
        <w:t>，分别借</w:t>
      </w:r>
      <w:r w:rsidRPr="001F524C">
        <w:rPr>
          <w:rFonts w:ascii="Times New Roman" w:eastAsia="仿宋_GB2312" w:hAnsi="Times New Roman" w:cs="Times New Roman" w:hint="eastAsia"/>
          <w:kern w:val="0"/>
          <w:sz w:val="32"/>
          <w:szCs w:val="32"/>
        </w:rPr>
        <w:t>记有关资产科目，按照盘盈资产</w:t>
      </w:r>
      <w:r w:rsidR="001630F5">
        <w:rPr>
          <w:rFonts w:ascii="Times New Roman" w:eastAsia="仿宋_GB2312" w:hAnsi="Times New Roman" w:cs="Times New Roman" w:hint="eastAsia"/>
          <w:kern w:val="0"/>
          <w:sz w:val="32"/>
          <w:szCs w:val="32"/>
        </w:rPr>
        <w:t>成本</w:t>
      </w:r>
      <w:r w:rsidRPr="001F524C">
        <w:rPr>
          <w:rFonts w:ascii="Times New Roman" w:eastAsia="仿宋_GB2312" w:hAnsi="Times New Roman" w:cs="Times New Roman" w:hint="eastAsia"/>
          <w:kern w:val="0"/>
          <w:sz w:val="32"/>
          <w:szCs w:val="32"/>
        </w:rPr>
        <w:t>的合计金额，贷记“累计盈余”科目。</w:t>
      </w:r>
    </w:p>
    <w:p w:rsidR="004315C7" w:rsidRPr="004C064C" w:rsidRDefault="001F524C">
      <w:pPr>
        <w:autoSpaceDE w:val="0"/>
        <w:autoSpaceDN w:val="0"/>
        <w:adjustRightInd w:val="0"/>
        <w:ind w:firstLineChars="221" w:firstLine="707"/>
        <w:jc w:val="left"/>
        <w:rPr>
          <w:rFonts w:ascii="Times New Roman" w:eastAsia="仿宋_GB2312" w:hAnsi="Times New Roman" w:cs="Times New Roman"/>
          <w:sz w:val="32"/>
          <w:szCs w:val="32"/>
        </w:rPr>
      </w:pPr>
      <w:r w:rsidRPr="001F524C">
        <w:rPr>
          <w:rFonts w:ascii="Times New Roman" w:eastAsia="仿宋_GB2312" w:hAnsi="Times New Roman" w:cs="Times New Roman"/>
          <w:kern w:val="0"/>
          <w:sz w:val="32"/>
          <w:szCs w:val="32"/>
        </w:rPr>
        <w:t>4.</w:t>
      </w:r>
      <w:r w:rsidRPr="001F524C">
        <w:rPr>
          <w:rFonts w:ascii="Times New Roman" w:eastAsia="仿宋_GB2312" w:hAnsi="Times New Roman" w:cs="Times New Roman" w:hint="eastAsia"/>
          <w:sz w:val="32"/>
          <w:szCs w:val="32"/>
        </w:rPr>
        <w:t>预计负债</w:t>
      </w:r>
    </w:p>
    <w:p w:rsidR="004315C7" w:rsidRPr="004C064C" w:rsidRDefault="001F524C">
      <w:pPr>
        <w:autoSpaceDE w:val="0"/>
        <w:autoSpaceDN w:val="0"/>
        <w:adjustRightInd w:val="0"/>
        <w:ind w:firstLineChars="221" w:firstLine="707"/>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单位</w:t>
      </w:r>
      <w:r w:rsidRPr="001F524C">
        <w:rPr>
          <w:rFonts w:ascii="Times New Roman" w:eastAsia="仿宋_GB2312" w:hAnsi="Times New Roman" w:cs="Times New Roman" w:hint="eastAsia"/>
          <w:kern w:val="0"/>
          <w:sz w:val="32"/>
          <w:szCs w:val="32"/>
        </w:rPr>
        <w:t>在新旧制度转换时，应当将</w:t>
      </w:r>
      <w:r w:rsidRPr="001F524C">
        <w:rPr>
          <w:rFonts w:ascii="Times New Roman" w:eastAsia="仿宋_GB2312" w:hAnsi="Times New Roman" w:cs="Times New Roman"/>
          <w:kern w:val="0"/>
          <w:sz w:val="32"/>
          <w:szCs w:val="32"/>
        </w:rPr>
        <w:t>2018</w:t>
      </w:r>
      <w:r w:rsidRPr="001F524C">
        <w:rPr>
          <w:rFonts w:ascii="Times New Roman" w:eastAsia="仿宋_GB2312" w:hAnsi="Times New Roman" w:cs="Times New Roman"/>
          <w:kern w:val="0"/>
          <w:sz w:val="32"/>
          <w:szCs w:val="32"/>
        </w:rPr>
        <w:t>年</w:t>
      </w:r>
      <w:r w:rsidRPr="001F524C">
        <w:rPr>
          <w:rFonts w:ascii="Times New Roman" w:eastAsia="仿宋_GB2312" w:hAnsi="Times New Roman" w:cs="Times New Roman"/>
          <w:kern w:val="0"/>
          <w:sz w:val="32"/>
          <w:szCs w:val="32"/>
        </w:rPr>
        <w:t>12</w:t>
      </w:r>
      <w:r w:rsidRPr="001F524C">
        <w:rPr>
          <w:rFonts w:ascii="Times New Roman" w:eastAsia="仿宋_GB2312" w:hAnsi="Times New Roman" w:cs="Times New Roman"/>
          <w:kern w:val="0"/>
          <w:sz w:val="32"/>
          <w:szCs w:val="32"/>
        </w:rPr>
        <w:t>月</w:t>
      </w:r>
      <w:r w:rsidRPr="001F524C">
        <w:rPr>
          <w:rFonts w:ascii="Times New Roman" w:eastAsia="仿宋_GB2312" w:hAnsi="Times New Roman" w:cs="Times New Roman"/>
          <w:kern w:val="0"/>
          <w:sz w:val="32"/>
          <w:szCs w:val="32"/>
        </w:rPr>
        <w:t>31</w:t>
      </w:r>
      <w:r w:rsidRPr="001F524C">
        <w:rPr>
          <w:rFonts w:ascii="Times New Roman" w:eastAsia="仿宋_GB2312" w:hAnsi="Times New Roman" w:cs="Times New Roman"/>
          <w:kern w:val="0"/>
          <w:sz w:val="32"/>
          <w:szCs w:val="32"/>
        </w:rPr>
        <w:t>日按照新制度规定确认的预计负债记入新账</w:t>
      </w:r>
      <w:r w:rsidRPr="001F524C">
        <w:rPr>
          <w:rFonts w:ascii="Times New Roman" w:eastAsia="仿宋_GB2312" w:hAnsi="Times New Roman" w:cs="Times New Roman" w:hint="eastAsia"/>
          <w:kern w:val="0"/>
          <w:sz w:val="32"/>
          <w:szCs w:val="32"/>
        </w:rPr>
        <w:t>。登记新账时，按照确定的预</w:t>
      </w:r>
      <w:r w:rsidRPr="001F524C">
        <w:rPr>
          <w:rFonts w:ascii="Times New Roman" w:eastAsia="仿宋_GB2312" w:hAnsi="Times New Roman" w:cs="Times New Roman" w:hint="eastAsia"/>
          <w:kern w:val="0"/>
          <w:sz w:val="32"/>
          <w:szCs w:val="32"/>
        </w:rPr>
        <w:lastRenderedPageBreak/>
        <w:t>计负债金额，借记“累计盈余”科目，贷记“预计负债”科目。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单位存在</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日前未入账的其他事项的，应当比照本规定登记新账的相应科目。</w:t>
      </w:r>
    </w:p>
    <w:p w:rsidR="00673378" w:rsidRDefault="001F524C">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单位对新账的财务会计</w:t>
      </w:r>
      <w:r w:rsidR="006C34F3">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补记未入账事项时，应当编制记账凭证，并将补充登记事项的确认依据作为原始凭证。</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（三）对新账的相关财务会计科目余额按照新制度规定的核算基础进行调整</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补提折旧</w:t>
      </w:r>
    </w:p>
    <w:p w:rsidR="004315C7" w:rsidRPr="004C064C" w:rsidRDefault="00231900">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w:t>
      </w:r>
      <w:r w:rsidR="0044777D">
        <w:rPr>
          <w:rFonts w:ascii="Times New Roman" w:eastAsia="仿宋_GB2312" w:hAnsi="Times New Roman" w:cs="Times New Roman" w:hint="eastAsia"/>
          <w:kern w:val="0"/>
          <w:sz w:val="32"/>
          <w:szCs w:val="32"/>
        </w:rPr>
        <w:t>在原账中</w:t>
      </w:r>
      <w:r w:rsidR="001F524C" w:rsidRPr="001F524C">
        <w:rPr>
          <w:rFonts w:ascii="Times New Roman" w:eastAsia="仿宋_GB2312" w:hAnsi="Times New Roman" w:cs="Times New Roman" w:hint="eastAsia"/>
          <w:kern w:val="0"/>
          <w:sz w:val="32"/>
          <w:szCs w:val="32"/>
        </w:rPr>
        <w:t>尚未计提固定资产折旧</w:t>
      </w:r>
      <w:r w:rsidR="00F50F92">
        <w:rPr>
          <w:rFonts w:ascii="Times New Roman" w:eastAsia="仿宋_GB2312" w:hAnsi="Times New Roman" w:cs="Times New Roman" w:hint="eastAsia"/>
          <w:kern w:val="0"/>
          <w:sz w:val="32"/>
          <w:szCs w:val="32"/>
        </w:rPr>
        <w:t>、公共基础设施折旧（摊销）</w:t>
      </w:r>
      <w:r w:rsidR="001F524C" w:rsidRPr="001F524C">
        <w:rPr>
          <w:rFonts w:ascii="Times New Roman" w:eastAsia="仿宋_GB2312" w:hAnsi="Times New Roman" w:cs="Times New Roman" w:hint="eastAsia"/>
          <w:kern w:val="0"/>
          <w:sz w:val="32"/>
          <w:szCs w:val="32"/>
        </w:rPr>
        <w:t>的，应当全面核查截至</w:t>
      </w:r>
      <w:r w:rsidR="001F524C" w:rsidRPr="001F524C">
        <w:rPr>
          <w:rFonts w:ascii="Times New Roman" w:eastAsia="仿宋_GB2312" w:hAnsi="Times New Roman" w:cs="Times New Roman"/>
          <w:kern w:val="0"/>
          <w:sz w:val="32"/>
          <w:szCs w:val="32"/>
        </w:rPr>
        <w:t>2018</w:t>
      </w:r>
      <w:r w:rsidR="001F524C" w:rsidRPr="001F524C">
        <w:rPr>
          <w:rFonts w:ascii="Times New Roman" w:eastAsia="仿宋_GB2312" w:hAnsi="Times New Roman" w:cs="Times New Roman" w:hint="eastAsia"/>
          <w:kern w:val="0"/>
          <w:sz w:val="32"/>
          <w:szCs w:val="32"/>
        </w:rPr>
        <w:t>年</w:t>
      </w:r>
      <w:r w:rsidR="001F524C" w:rsidRPr="001F524C">
        <w:rPr>
          <w:rFonts w:ascii="Times New Roman" w:eastAsia="仿宋_GB2312" w:hAnsi="Times New Roman" w:cs="Times New Roman"/>
          <w:kern w:val="0"/>
          <w:sz w:val="32"/>
          <w:szCs w:val="32"/>
        </w:rPr>
        <w:t>12</w:t>
      </w:r>
      <w:r w:rsidR="001F524C" w:rsidRPr="001F524C">
        <w:rPr>
          <w:rFonts w:ascii="Times New Roman" w:eastAsia="仿宋_GB2312" w:hAnsi="Times New Roman" w:cs="Times New Roman" w:hint="eastAsia"/>
          <w:kern w:val="0"/>
          <w:sz w:val="32"/>
          <w:szCs w:val="32"/>
        </w:rPr>
        <w:t>月</w:t>
      </w:r>
      <w:r w:rsidR="001F524C" w:rsidRPr="001F524C">
        <w:rPr>
          <w:rFonts w:ascii="Times New Roman" w:eastAsia="仿宋_GB2312" w:hAnsi="Times New Roman" w:cs="Times New Roman"/>
          <w:kern w:val="0"/>
          <w:sz w:val="32"/>
          <w:szCs w:val="32"/>
        </w:rPr>
        <w:t>31</w:t>
      </w:r>
      <w:r w:rsidR="001F524C" w:rsidRPr="001F524C">
        <w:rPr>
          <w:rFonts w:ascii="Times New Roman" w:eastAsia="仿宋_GB2312" w:hAnsi="Times New Roman" w:cs="Times New Roman" w:hint="eastAsia"/>
          <w:kern w:val="0"/>
          <w:sz w:val="32"/>
          <w:szCs w:val="32"/>
        </w:rPr>
        <w:t>日固定资产</w:t>
      </w:r>
      <w:r w:rsidR="00F50F92">
        <w:rPr>
          <w:rFonts w:ascii="Times New Roman" w:eastAsia="仿宋_GB2312" w:hAnsi="Times New Roman" w:cs="Times New Roman" w:hint="eastAsia"/>
          <w:kern w:val="0"/>
          <w:sz w:val="32"/>
          <w:szCs w:val="32"/>
        </w:rPr>
        <w:t>、公共基础设施</w:t>
      </w:r>
      <w:r w:rsidR="001F524C" w:rsidRPr="001F524C">
        <w:rPr>
          <w:rFonts w:ascii="Times New Roman" w:eastAsia="仿宋_GB2312" w:hAnsi="Times New Roman" w:cs="Times New Roman" w:hint="eastAsia"/>
          <w:kern w:val="0"/>
          <w:sz w:val="32"/>
          <w:szCs w:val="32"/>
        </w:rPr>
        <w:t>的</w:t>
      </w:r>
      <w:r w:rsidR="0044777D">
        <w:rPr>
          <w:rFonts w:ascii="Times New Roman" w:eastAsia="仿宋_GB2312" w:hAnsi="Times New Roman" w:cs="Times New Roman" w:hint="eastAsia"/>
          <w:kern w:val="0"/>
          <w:sz w:val="32"/>
          <w:szCs w:val="32"/>
        </w:rPr>
        <w:t>预计使用年限、</w:t>
      </w:r>
      <w:r w:rsidR="001F524C" w:rsidRPr="001F524C">
        <w:rPr>
          <w:rFonts w:ascii="Times New Roman" w:eastAsia="仿宋_GB2312" w:hAnsi="Times New Roman" w:cs="Times New Roman" w:hint="eastAsia"/>
          <w:kern w:val="0"/>
          <w:sz w:val="32"/>
          <w:szCs w:val="32"/>
        </w:rPr>
        <w:t>已使用年限、尚可使用年限等，并</w:t>
      </w:r>
      <w:r w:rsidR="008956F0">
        <w:rPr>
          <w:rFonts w:ascii="Times New Roman" w:eastAsia="仿宋_GB2312" w:hAnsi="Times New Roman" w:cs="Times New Roman" w:hint="eastAsia"/>
          <w:kern w:val="0"/>
          <w:sz w:val="32"/>
          <w:szCs w:val="32"/>
        </w:rPr>
        <w:t>按照新制度规定</w:t>
      </w:r>
      <w:r w:rsidR="001F524C" w:rsidRPr="001F524C">
        <w:rPr>
          <w:rFonts w:ascii="Times New Roman" w:eastAsia="仿宋_GB2312" w:hAnsi="Times New Roman" w:cs="Times New Roman" w:hint="eastAsia"/>
          <w:kern w:val="0"/>
          <w:sz w:val="32"/>
          <w:szCs w:val="32"/>
        </w:rPr>
        <w:t>于</w:t>
      </w:r>
      <w:r w:rsidR="000076B4" w:rsidRPr="001F524C">
        <w:rPr>
          <w:rFonts w:ascii="Times New Roman" w:eastAsia="仿宋_GB2312" w:hAnsi="Times New Roman" w:cs="Times New Roman"/>
          <w:sz w:val="32"/>
          <w:szCs w:val="32"/>
        </w:rPr>
        <w:t>201</w:t>
      </w:r>
      <w:r w:rsidR="000076B4">
        <w:rPr>
          <w:rFonts w:ascii="Times New Roman" w:eastAsia="仿宋_GB2312" w:hAnsi="Times New Roman" w:cs="Times New Roman" w:hint="eastAsia"/>
          <w:sz w:val="32"/>
          <w:szCs w:val="32"/>
        </w:rPr>
        <w:t>9</w:t>
      </w:r>
      <w:r w:rsidR="001F524C" w:rsidRPr="001F524C">
        <w:rPr>
          <w:rFonts w:ascii="Times New Roman" w:eastAsia="仿宋_GB2312" w:hAnsi="Times New Roman" w:cs="Times New Roman" w:hint="eastAsia"/>
          <w:sz w:val="32"/>
          <w:szCs w:val="32"/>
        </w:rPr>
        <w:t>年</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月</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日对</w:t>
      </w:r>
      <w:r w:rsidR="0044777D">
        <w:rPr>
          <w:rFonts w:ascii="Times New Roman" w:eastAsia="仿宋_GB2312" w:hAnsi="Times New Roman" w:cs="Times New Roman" w:hint="eastAsia"/>
          <w:sz w:val="32"/>
          <w:szCs w:val="32"/>
        </w:rPr>
        <w:t>尚未计提折旧的</w:t>
      </w:r>
      <w:r w:rsidR="001F524C" w:rsidRPr="001F524C">
        <w:rPr>
          <w:rFonts w:ascii="Times New Roman" w:eastAsia="仿宋_GB2312" w:hAnsi="Times New Roman" w:cs="Times New Roman" w:hint="eastAsia"/>
          <w:sz w:val="32"/>
          <w:szCs w:val="32"/>
        </w:rPr>
        <w:t>固定资产</w:t>
      </w:r>
      <w:r w:rsidR="00F50F92">
        <w:rPr>
          <w:rFonts w:ascii="Times New Roman" w:eastAsia="仿宋_GB2312" w:hAnsi="Times New Roman" w:cs="Times New Roman" w:hint="eastAsia"/>
          <w:sz w:val="32"/>
          <w:szCs w:val="32"/>
        </w:rPr>
        <w:t>、公共基础设施</w:t>
      </w:r>
      <w:r w:rsidR="001F524C" w:rsidRPr="001F524C">
        <w:rPr>
          <w:rFonts w:ascii="Times New Roman" w:eastAsia="仿宋_GB2312" w:hAnsi="Times New Roman" w:cs="Times New Roman" w:hint="eastAsia"/>
          <w:sz w:val="32"/>
          <w:szCs w:val="32"/>
        </w:rPr>
        <w:t>补提折旧，按照应计提的折旧金额，借记“累计盈余”科目，贷记“固定资产累计折旧”</w:t>
      </w:r>
      <w:r w:rsidR="00F50F92">
        <w:rPr>
          <w:rFonts w:ascii="Times New Roman" w:eastAsia="仿宋_GB2312" w:hAnsi="Times New Roman" w:cs="Times New Roman" w:hint="eastAsia"/>
          <w:sz w:val="32"/>
          <w:szCs w:val="32"/>
        </w:rPr>
        <w:t>、</w:t>
      </w:r>
      <w:r w:rsidR="00F50F92" w:rsidRPr="001F524C">
        <w:rPr>
          <w:rFonts w:ascii="Times New Roman" w:eastAsia="仿宋_GB2312" w:hAnsi="Times New Roman" w:cs="Times New Roman" w:hint="eastAsia"/>
          <w:kern w:val="0"/>
          <w:sz w:val="32"/>
          <w:szCs w:val="32"/>
        </w:rPr>
        <w:t>“公共基础设施累计折旧（摊销）</w:t>
      </w:r>
      <w:r w:rsidR="00F50F92">
        <w:rPr>
          <w:rFonts w:ascii="Times New Roman" w:eastAsia="仿宋_GB2312" w:hAnsi="Times New Roman" w:cs="Times New Roman" w:hint="eastAsia"/>
          <w:kern w:val="0"/>
          <w:sz w:val="32"/>
          <w:szCs w:val="32"/>
        </w:rPr>
        <w:t>”</w:t>
      </w:r>
      <w:r w:rsidR="001F524C" w:rsidRPr="001F524C">
        <w:rPr>
          <w:rFonts w:ascii="Times New Roman" w:eastAsia="仿宋_GB2312" w:hAnsi="Times New Roman" w:cs="Times New Roman" w:hint="eastAsia"/>
          <w:sz w:val="32"/>
          <w:szCs w:val="32"/>
        </w:rPr>
        <w:t>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t>单位在原账的“固定资产”科目中核算了按照新制度规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补提摊销</w:t>
      </w:r>
    </w:p>
    <w:p w:rsidR="004315C7" w:rsidRPr="004C064C" w:rsidRDefault="00231900">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kern w:val="0"/>
          <w:sz w:val="32"/>
          <w:szCs w:val="32"/>
        </w:rPr>
        <w:lastRenderedPageBreak/>
        <w:t>单位</w:t>
      </w:r>
      <w:r w:rsidR="0044777D">
        <w:rPr>
          <w:rFonts w:ascii="Times New Roman" w:eastAsia="仿宋_GB2312" w:hAnsi="Times New Roman" w:cs="Times New Roman" w:hint="eastAsia"/>
          <w:kern w:val="0"/>
          <w:sz w:val="32"/>
          <w:szCs w:val="32"/>
        </w:rPr>
        <w:t>在原账中</w:t>
      </w:r>
      <w:r w:rsidR="001F524C" w:rsidRPr="001F524C">
        <w:rPr>
          <w:rFonts w:ascii="Times New Roman" w:eastAsia="仿宋_GB2312" w:hAnsi="Times New Roman" w:cs="Times New Roman" w:hint="eastAsia"/>
          <w:kern w:val="0"/>
          <w:sz w:val="32"/>
          <w:szCs w:val="32"/>
        </w:rPr>
        <w:t>尚未计提无形资产摊销的，应当全面核查截至</w:t>
      </w:r>
      <w:r w:rsidR="001F524C" w:rsidRPr="001F524C">
        <w:rPr>
          <w:rFonts w:ascii="Times New Roman" w:eastAsia="仿宋_GB2312" w:hAnsi="Times New Roman" w:cs="Times New Roman"/>
          <w:kern w:val="0"/>
          <w:sz w:val="32"/>
          <w:szCs w:val="32"/>
        </w:rPr>
        <w:t>2018</w:t>
      </w:r>
      <w:r w:rsidR="001F524C" w:rsidRPr="001F524C">
        <w:rPr>
          <w:rFonts w:ascii="Times New Roman" w:eastAsia="仿宋_GB2312" w:hAnsi="Times New Roman" w:cs="Times New Roman" w:hint="eastAsia"/>
          <w:kern w:val="0"/>
          <w:sz w:val="32"/>
          <w:szCs w:val="32"/>
        </w:rPr>
        <w:t>年</w:t>
      </w:r>
      <w:r w:rsidR="001F524C" w:rsidRPr="001F524C">
        <w:rPr>
          <w:rFonts w:ascii="Times New Roman" w:eastAsia="仿宋_GB2312" w:hAnsi="Times New Roman" w:cs="Times New Roman"/>
          <w:kern w:val="0"/>
          <w:sz w:val="32"/>
          <w:szCs w:val="32"/>
        </w:rPr>
        <w:t>12</w:t>
      </w:r>
      <w:r w:rsidR="001F524C" w:rsidRPr="001F524C">
        <w:rPr>
          <w:rFonts w:ascii="Times New Roman" w:eastAsia="仿宋_GB2312" w:hAnsi="Times New Roman" w:cs="Times New Roman" w:hint="eastAsia"/>
          <w:kern w:val="0"/>
          <w:sz w:val="32"/>
          <w:szCs w:val="32"/>
        </w:rPr>
        <w:t>月</w:t>
      </w:r>
      <w:r w:rsidR="001F524C" w:rsidRPr="001F524C">
        <w:rPr>
          <w:rFonts w:ascii="Times New Roman" w:eastAsia="仿宋_GB2312" w:hAnsi="Times New Roman" w:cs="Times New Roman"/>
          <w:kern w:val="0"/>
          <w:sz w:val="32"/>
          <w:szCs w:val="32"/>
        </w:rPr>
        <w:t>31</w:t>
      </w:r>
      <w:r w:rsidR="001F524C" w:rsidRPr="001F524C">
        <w:rPr>
          <w:rFonts w:ascii="Times New Roman" w:eastAsia="仿宋_GB2312" w:hAnsi="Times New Roman" w:cs="Times New Roman" w:hint="eastAsia"/>
          <w:kern w:val="0"/>
          <w:sz w:val="32"/>
          <w:szCs w:val="32"/>
        </w:rPr>
        <w:t>日无形资产的</w:t>
      </w:r>
      <w:r w:rsidR="0044777D">
        <w:rPr>
          <w:rFonts w:ascii="Times New Roman" w:eastAsia="仿宋_GB2312" w:hAnsi="Times New Roman" w:cs="Times New Roman" w:hint="eastAsia"/>
          <w:kern w:val="0"/>
          <w:sz w:val="32"/>
          <w:szCs w:val="32"/>
        </w:rPr>
        <w:t>预计使用年限、</w:t>
      </w:r>
      <w:r w:rsidR="008956F0">
        <w:rPr>
          <w:rFonts w:ascii="Times New Roman" w:eastAsia="仿宋_GB2312" w:hAnsi="Times New Roman" w:cs="Times New Roman" w:hint="eastAsia"/>
          <w:kern w:val="0"/>
          <w:sz w:val="32"/>
          <w:szCs w:val="32"/>
        </w:rPr>
        <w:t>已</w:t>
      </w:r>
      <w:r w:rsidR="001F524C" w:rsidRPr="001F524C">
        <w:rPr>
          <w:rFonts w:ascii="Times New Roman" w:eastAsia="仿宋_GB2312" w:hAnsi="Times New Roman" w:cs="Times New Roman" w:hint="eastAsia"/>
          <w:kern w:val="0"/>
          <w:sz w:val="32"/>
          <w:szCs w:val="32"/>
        </w:rPr>
        <w:t>使用年限、</w:t>
      </w:r>
      <w:r w:rsidR="008956F0">
        <w:rPr>
          <w:rFonts w:ascii="Times New Roman" w:eastAsia="仿宋_GB2312" w:hAnsi="Times New Roman" w:cs="Times New Roman" w:hint="eastAsia"/>
          <w:kern w:val="0"/>
          <w:sz w:val="32"/>
          <w:szCs w:val="32"/>
        </w:rPr>
        <w:t>尚可</w:t>
      </w:r>
      <w:r w:rsidR="001F524C" w:rsidRPr="001F524C">
        <w:rPr>
          <w:rFonts w:ascii="Times New Roman" w:eastAsia="仿宋_GB2312" w:hAnsi="Times New Roman" w:cs="Times New Roman" w:hint="eastAsia"/>
          <w:kern w:val="0"/>
          <w:sz w:val="32"/>
          <w:szCs w:val="32"/>
        </w:rPr>
        <w:t>使用年限等，并</w:t>
      </w:r>
      <w:r w:rsidR="008956F0">
        <w:rPr>
          <w:rFonts w:ascii="Times New Roman" w:eastAsia="仿宋_GB2312" w:hAnsi="Times New Roman" w:cs="Times New Roman" w:hint="eastAsia"/>
          <w:kern w:val="0"/>
          <w:sz w:val="32"/>
          <w:szCs w:val="32"/>
        </w:rPr>
        <w:t>按照新制度规定</w:t>
      </w:r>
      <w:r w:rsidR="001F524C" w:rsidRPr="001F524C">
        <w:rPr>
          <w:rFonts w:ascii="Times New Roman" w:eastAsia="仿宋_GB2312" w:hAnsi="Times New Roman" w:cs="Times New Roman" w:hint="eastAsia"/>
          <w:kern w:val="0"/>
          <w:sz w:val="32"/>
          <w:szCs w:val="32"/>
        </w:rPr>
        <w:t>于</w:t>
      </w:r>
      <w:r w:rsidR="000076B4" w:rsidRPr="001F524C">
        <w:rPr>
          <w:rFonts w:ascii="Times New Roman" w:eastAsia="仿宋_GB2312" w:hAnsi="Times New Roman" w:cs="Times New Roman"/>
          <w:sz w:val="32"/>
          <w:szCs w:val="32"/>
        </w:rPr>
        <w:t>201</w:t>
      </w:r>
      <w:r w:rsidR="000076B4">
        <w:rPr>
          <w:rFonts w:ascii="Times New Roman" w:eastAsia="仿宋_GB2312" w:hAnsi="Times New Roman" w:cs="Times New Roman" w:hint="eastAsia"/>
          <w:sz w:val="32"/>
          <w:szCs w:val="32"/>
        </w:rPr>
        <w:t>9</w:t>
      </w:r>
      <w:r w:rsidR="001F524C" w:rsidRPr="001F524C">
        <w:rPr>
          <w:rFonts w:ascii="Times New Roman" w:eastAsia="仿宋_GB2312" w:hAnsi="Times New Roman" w:cs="Times New Roman" w:hint="eastAsia"/>
          <w:sz w:val="32"/>
          <w:szCs w:val="32"/>
        </w:rPr>
        <w:t>年</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月</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日对</w:t>
      </w:r>
      <w:r w:rsidR="0044777D">
        <w:rPr>
          <w:rFonts w:ascii="Times New Roman" w:eastAsia="仿宋_GB2312" w:hAnsi="Times New Roman" w:cs="Times New Roman" w:hint="eastAsia"/>
          <w:sz w:val="32"/>
          <w:szCs w:val="32"/>
        </w:rPr>
        <w:t>尚未摊销的</w:t>
      </w:r>
      <w:r w:rsidR="001F524C" w:rsidRPr="001F524C">
        <w:rPr>
          <w:rFonts w:ascii="Times New Roman" w:eastAsia="仿宋_GB2312" w:hAnsi="Times New Roman" w:cs="Times New Roman" w:hint="eastAsia"/>
          <w:sz w:val="32"/>
          <w:szCs w:val="32"/>
        </w:rPr>
        <w:t>无形资产补提摊销，按照应计提的摊销金额，借记“累计盈余”科目，贷记“无形资产累计摊销”科目。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单位对新账的财务会计</w:t>
      </w:r>
      <w:r w:rsidR="008956F0">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期初余额进行调整时，应当编制记账凭证，并将调整事项的确认依据作为原始凭证。</w:t>
      </w:r>
    </w:p>
    <w:p w:rsidR="004315C7" w:rsidRPr="004C064C" w:rsidRDefault="001F524C">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三、预算会计</w:t>
      </w:r>
      <w:r w:rsidR="008956F0">
        <w:rPr>
          <w:rFonts w:ascii="黑体" w:eastAsia="黑体" w:hAnsi="黑体" w:cs="Times New Roman" w:hint="eastAsia"/>
          <w:bCs/>
          <w:sz w:val="32"/>
          <w:szCs w:val="32"/>
        </w:rPr>
        <w:t>科目</w:t>
      </w:r>
      <w:r w:rsidRPr="001F524C">
        <w:rPr>
          <w:rFonts w:ascii="黑体" w:eastAsia="黑体" w:hAnsi="黑体" w:cs="Times New Roman" w:hint="eastAsia"/>
          <w:bCs/>
          <w:sz w:val="32"/>
          <w:szCs w:val="32"/>
        </w:rPr>
        <w:t>的新旧衔接</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（一）“财政拨款结转”和“财政拨款结余”科目及对应的“资金结存”科目余额</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新制度设置了“财政拨款结转”、“财政拨款结余”科目及对应的“资金结存”科目。在新旧制度转换时，</w:t>
      </w:r>
      <w:r w:rsidR="008B626F" w:rsidRPr="001F524C">
        <w:rPr>
          <w:rFonts w:ascii="Times New Roman" w:eastAsia="仿宋_GB2312" w:hAnsi="Times New Roman" w:cs="Times New Roman" w:hint="eastAsia"/>
          <w:sz w:val="32"/>
          <w:szCs w:val="32"/>
        </w:rPr>
        <w:t>单位</w:t>
      </w:r>
      <w:r w:rsidR="008956F0">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新制度</w:t>
      </w:r>
      <w:r w:rsidR="008956F0">
        <w:rPr>
          <w:rFonts w:ascii="Times New Roman" w:eastAsia="仿宋_GB2312" w:hAnsi="Times New Roman" w:cs="Times New Roman" w:hint="eastAsia"/>
          <w:sz w:val="32"/>
          <w:szCs w:val="32"/>
        </w:rPr>
        <w:t>规定</w:t>
      </w:r>
      <w:r w:rsidRPr="001F524C">
        <w:rPr>
          <w:rFonts w:ascii="Times New Roman" w:eastAsia="仿宋_GB2312" w:hAnsi="Times New Roman" w:cs="Times New Roman" w:hint="eastAsia"/>
          <w:sz w:val="32"/>
          <w:szCs w:val="32"/>
        </w:rPr>
        <w:t>将</w:t>
      </w:r>
      <w:r w:rsidR="008956F0">
        <w:rPr>
          <w:rFonts w:ascii="Times New Roman" w:eastAsia="仿宋_GB2312" w:hAnsi="Times New Roman" w:cs="Times New Roman" w:hint="eastAsia"/>
          <w:sz w:val="32"/>
          <w:szCs w:val="32"/>
        </w:rPr>
        <w:t>原账</w:t>
      </w:r>
      <w:r w:rsidRPr="001F524C">
        <w:rPr>
          <w:rFonts w:ascii="Times New Roman" w:eastAsia="仿宋_GB2312" w:hAnsi="Times New Roman" w:cs="Times New Roman" w:hint="eastAsia"/>
          <w:sz w:val="32"/>
          <w:szCs w:val="32"/>
        </w:rPr>
        <w:t>其他应收款中的预付款项</w:t>
      </w:r>
      <w:r w:rsidR="00801B3D">
        <w:rPr>
          <w:rFonts w:ascii="Times New Roman" w:eastAsia="仿宋_GB2312" w:hAnsi="Times New Roman" w:cs="Times New Roman" w:hint="eastAsia"/>
          <w:sz w:val="32"/>
          <w:szCs w:val="32"/>
        </w:rPr>
        <w:t>计</w:t>
      </w:r>
      <w:r w:rsidR="00801B3D" w:rsidRPr="001F524C">
        <w:rPr>
          <w:rFonts w:ascii="Times New Roman" w:eastAsia="仿宋_GB2312" w:hAnsi="Times New Roman" w:cs="Times New Roman" w:hint="eastAsia"/>
          <w:sz w:val="32"/>
          <w:szCs w:val="32"/>
        </w:rPr>
        <w:t>入</w:t>
      </w:r>
      <w:r w:rsidRPr="001F524C">
        <w:rPr>
          <w:rFonts w:ascii="Times New Roman" w:eastAsia="仿宋_GB2312" w:hAnsi="Times New Roman" w:cs="Times New Roman" w:hint="eastAsia"/>
          <w:sz w:val="32"/>
          <w:szCs w:val="32"/>
        </w:rPr>
        <w:t>预算支出的，应当对原账的“财政拨款结转”科目余额进行逐项分析，按照减去已经支付财政资金尚未</w:t>
      </w:r>
      <w:r w:rsidR="00801B3D">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w:t>
      </w:r>
      <w:r w:rsidR="00801B3D">
        <w:rPr>
          <w:rFonts w:ascii="Times New Roman" w:eastAsia="仿宋_GB2312" w:hAnsi="Times New Roman" w:cs="Times New Roman" w:hint="eastAsia"/>
          <w:sz w:val="32"/>
          <w:szCs w:val="32"/>
        </w:rPr>
        <w:t>预算</w:t>
      </w:r>
      <w:r w:rsidRPr="001F524C">
        <w:rPr>
          <w:rFonts w:ascii="Times New Roman" w:eastAsia="仿宋_GB2312" w:hAnsi="Times New Roman" w:cs="Times New Roman" w:hint="eastAsia"/>
          <w:sz w:val="32"/>
          <w:szCs w:val="32"/>
        </w:rPr>
        <w:t>支出（如其他应收款中的预付款项等）的金额后的差额，登记新账的“财政拨款结转”科目及其明细科目贷方；按照原账的“财政拨款结余”科目余额，登记新账的“财政拨款结余”科目及其明细科目贷方。</w:t>
      </w:r>
    </w:p>
    <w:p w:rsidR="004315C7" w:rsidRPr="004C064C" w:rsidRDefault="00231900">
      <w:pPr>
        <w:ind w:firstLineChars="221" w:firstLine="707"/>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单位应当</w:t>
      </w:r>
      <w:r w:rsidR="001F524C" w:rsidRPr="001F524C">
        <w:rPr>
          <w:rFonts w:ascii="Times New Roman" w:eastAsia="仿宋_GB2312" w:hAnsi="Times New Roman" w:cs="Times New Roman" w:hint="eastAsia"/>
          <w:sz w:val="32"/>
          <w:szCs w:val="32"/>
        </w:rPr>
        <w:t>按照原账的“财政应返还额度”科目余额登记新账的“资金结存——财政应返还额度”科目借方；按照新账的“财政拨款结转”和“财政拨款结余”科目贷方余额</w:t>
      </w:r>
      <w:r w:rsidR="008956F0">
        <w:rPr>
          <w:rFonts w:ascii="Times New Roman" w:eastAsia="仿宋_GB2312" w:hAnsi="Times New Roman" w:cs="Times New Roman" w:hint="eastAsia"/>
          <w:sz w:val="32"/>
          <w:szCs w:val="32"/>
        </w:rPr>
        <w:t>合计数，</w:t>
      </w:r>
      <w:r w:rsidR="001F524C" w:rsidRPr="001F524C">
        <w:rPr>
          <w:rFonts w:ascii="Times New Roman" w:eastAsia="仿宋_GB2312" w:hAnsi="Times New Roman" w:cs="Times New Roman" w:hint="eastAsia"/>
          <w:sz w:val="32"/>
          <w:szCs w:val="32"/>
        </w:rPr>
        <w:t>减去新账的“资金结存——财政应返还额度”科目借方余额后</w:t>
      </w:r>
      <w:r w:rsidR="001F524C" w:rsidRPr="001F524C">
        <w:rPr>
          <w:rFonts w:ascii="Times New Roman" w:eastAsia="仿宋_GB2312" w:hAnsi="Times New Roman" w:cs="Times New Roman" w:hint="eastAsia"/>
          <w:sz w:val="32"/>
          <w:szCs w:val="32"/>
        </w:rPr>
        <w:lastRenderedPageBreak/>
        <w:t>的差额，登记新账的“资金结存——货币资金”科目的借方。</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（二）“非财政拨款结转”科目及对应的“资金结存”科目余额</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新制度设置了“非财政拨款结转”科目及对应的“资金结存”科目。在新旧制度转换时，</w:t>
      </w:r>
      <w:r w:rsidR="008956F0" w:rsidRPr="001F524C">
        <w:rPr>
          <w:rFonts w:ascii="Times New Roman" w:eastAsia="仿宋_GB2312" w:hAnsi="Times New Roman" w:cs="Times New Roman" w:hint="eastAsia"/>
          <w:sz w:val="32"/>
          <w:szCs w:val="32"/>
        </w:rPr>
        <w:t>单位</w:t>
      </w:r>
      <w:r w:rsidR="008956F0">
        <w:rPr>
          <w:rFonts w:ascii="Times New Roman" w:eastAsia="仿宋_GB2312" w:hAnsi="Times New Roman" w:cs="Times New Roman" w:hint="eastAsia"/>
          <w:sz w:val="32"/>
          <w:szCs w:val="32"/>
        </w:rPr>
        <w:t>按照</w:t>
      </w:r>
      <w:r w:rsidRPr="001F524C">
        <w:rPr>
          <w:rFonts w:ascii="Times New Roman" w:eastAsia="仿宋_GB2312" w:hAnsi="Times New Roman" w:cs="Times New Roman" w:hint="eastAsia"/>
          <w:sz w:val="32"/>
          <w:szCs w:val="32"/>
        </w:rPr>
        <w:t>新制度</w:t>
      </w:r>
      <w:r w:rsidR="008956F0">
        <w:rPr>
          <w:rFonts w:ascii="Times New Roman" w:eastAsia="仿宋_GB2312" w:hAnsi="Times New Roman" w:cs="Times New Roman" w:hint="eastAsia"/>
          <w:sz w:val="32"/>
          <w:szCs w:val="32"/>
        </w:rPr>
        <w:t>规定</w:t>
      </w:r>
      <w:r w:rsidRPr="001F524C">
        <w:rPr>
          <w:rFonts w:ascii="Times New Roman" w:eastAsia="仿宋_GB2312" w:hAnsi="Times New Roman" w:cs="Times New Roman" w:hint="eastAsia"/>
          <w:sz w:val="32"/>
          <w:szCs w:val="32"/>
        </w:rPr>
        <w:t>将</w:t>
      </w:r>
      <w:r w:rsidR="008956F0">
        <w:rPr>
          <w:rFonts w:ascii="Times New Roman" w:eastAsia="仿宋_GB2312" w:hAnsi="Times New Roman" w:cs="Times New Roman" w:hint="eastAsia"/>
          <w:sz w:val="32"/>
          <w:szCs w:val="32"/>
        </w:rPr>
        <w:t>原账</w:t>
      </w:r>
      <w:r w:rsidRPr="001F524C">
        <w:rPr>
          <w:rFonts w:ascii="Times New Roman" w:eastAsia="仿宋_GB2312" w:hAnsi="Times New Roman" w:cs="Times New Roman" w:hint="eastAsia"/>
          <w:sz w:val="32"/>
          <w:szCs w:val="32"/>
        </w:rPr>
        <w:t>其他应收款中的预付款项</w:t>
      </w:r>
      <w:r w:rsidR="00801B3D">
        <w:rPr>
          <w:rFonts w:ascii="Times New Roman" w:eastAsia="仿宋_GB2312" w:hAnsi="Times New Roman" w:cs="Times New Roman" w:hint="eastAsia"/>
          <w:sz w:val="32"/>
          <w:szCs w:val="32"/>
        </w:rPr>
        <w:t>计</w:t>
      </w:r>
      <w:r w:rsidR="00801B3D" w:rsidRPr="001F524C">
        <w:rPr>
          <w:rFonts w:ascii="Times New Roman" w:eastAsia="仿宋_GB2312" w:hAnsi="Times New Roman" w:cs="Times New Roman" w:hint="eastAsia"/>
          <w:sz w:val="32"/>
          <w:szCs w:val="32"/>
        </w:rPr>
        <w:t>入</w:t>
      </w:r>
      <w:r w:rsidRPr="001F524C">
        <w:rPr>
          <w:rFonts w:ascii="Times New Roman" w:eastAsia="仿宋_GB2312" w:hAnsi="Times New Roman" w:cs="Times New Roman" w:hint="eastAsia"/>
          <w:sz w:val="32"/>
          <w:szCs w:val="32"/>
        </w:rPr>
        <w:t>预算支出的，应当对原账的“其他资金结转结余——项目结转”科目余额进行逐项分析，按照减去已经支付非财政</w:t>
      </w:r>
      <w:r w:rsidR="008B626F">
        <w:rPr>
          <w:rFonts w:ascii="Times New Roman" w:eastAsia="仿宋_GB2312" w:hAnsi="Times New Roman" w:cs="Times New Roman" w:hint="eastAsia"/>
          <w:sz w:val="32"/>
          <w:szCs w:val="32"/>
        </w:rPr>
        <w:t>拨款</w:t>
      </w:r>
      <w:r w:rsidRPr="001F524C">
        <w:rPr>
          <w:rFonts w:ascii="Times New Roman" w:eastAsia="仿宋_GB2312" w:hAnsi="Times New Roman" w:cs="Times New Roman" w:hint="eastAsia"/>
          <w:sz w:val="32"/>
          <w:szCs w:val="32"/>
        </w:rPr>
        <w:t>专项资金尚未</w:t>
      </w:r>
      <w:r w:rsidR="00801B3D">
        <w:rPr>
          <w:rFonts w:ascii="Times New Roman" w:eastAsia="仿宋_GB2312" w:hAnsi="Times New Roman" w:cs="Times New Roman" w:hint="eastAsia"/>
          <w:sz w:val="32"/>
          <w:szCs w:val="32"/>
        </w:rPr>
        <w:t>计</w:t>
      </w:r>
      <w:r w:rsidRPr="001F524C">
        <w:rPr>
          <w:rFonts w:ascii="Times New Roman" w:eastAsia="仿宋_GB2312" w:hAnsi="Times New Roman" w:cs="Times New Roman" w:hint="eastAsia"/>
          <w:sz w:val="32"/>
          <w:szCs w:val="32"/>
        </w:rPr>
        <w:t>入</w:t>
      </w:r>
      <w:r w:rsidR="00801B3D">
        <w:rPr>
          <w:rFonts w:ascii="Times New Roman" w:eastAsia="仿宋_GB2312" w:hAnsi="Times New Roman" w:cs="Times New Roman" w:hint="eastAsia"/>
          <w:sz w:val="32"/>
          <w:szCs w:val="32"/>
        </w:rPr>
        <w:t>预算</w:t>
      </w:r>
      <w:r w:rsidRPr="001F524C">
        <w:rPr>
          <w:rFonts w:ascii="Times New Roman" w:eastAsia="仿宋_GB2312" w:hAnsi="Times New Roman" w:cs="Times New Roman" w:hint="eastAsia"/>
          <w:sz w:val="32"/>
          <w:szCs w:val="32"/>
        </w:rPr>
        <w:t>支出（如其他应收款中的预付款项等）的金额后的差额，登记新账的“非财政拨款结转”科目及其明细科目贷方；同时，按照相同的金额登记新账的“资金结存——货币资金”科目借方。</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（三）“非财政拨款结余”科目及对应的“资金结存”科目余额</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登记“非财政拨款结余”科目余额</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新制度设置了“非财政拨款结余”科目及对应的“资金结存”科目</w:t>
      </w:r>
      <w:r w:rsidRPr="001F524C">
        <w:rPr>
          <w:rFonts w:ascii="Times New Roman" w:eastAsia="仿宋_GB2312" w:hAnsi="Times New Roman" w:cs="Times New Roman" w:hint="eastAsia"/>
          <w:kern w:val="0"/>
          <w:sz w:val="32"/>
          <w:szCs w:val="32"/>
        </w:rPr>
        <w:t>。</w:t>
      </w:r>
      <w:r w:rsidRPr="001F524C">
        <w:rPr>
          <w:rFonts w:ascii="Times New Roman" w:eastAsia="仿宋_GB2312" w:hAnsi="Times New Roman" w:cs="Times New Roman" w:hint="eastAsia"/>
          <w:sz w:val="32"/>
          <w:szCs w:val="32"/>
        </w:rPr>
        <w:t>在新旧制度转换时</w:t>
      </w:r>
      <w:r w:rsidRPr="001F524C">
        <w:rPr>
          <w:rFonts w:ascii="Times New Roman" w:eastAsia="仿宋_GB2312" w:hAnsi="Times New Roman" w:cs="Times New Roman" w:hint="eastAsia"/>
          <w:kern w:val="0"/>
          <w:sz w:val="32"/>
          <w:szCs w:val="32"/>
        </w:rPr>
        <w:t>，</w:t>
      </w:r>
      <w:r w:rsidR="00231900">
        <w:rPr>
          <w:rFonts w:ascii="Times New Roman" w:eastAsia="仿宋_GB2312" w:hAnsi="Times New Roman" w:cs="Times New Roman" w:hint="eastAsia"/>
          <w:kern w:val="0"/>
          <w:sz w:val="32"/>
          <w:szCs w:val="32"/>
        </w:rPr>
        <w:t>单位应当</w:t>
      </w:r>
      <w:r w:rsidRPr="001F524C">
        <w:rPr>
          <w:rFonts w:ascii="Times New Roman" w:eastAsia="仿宋_GB2312" w:hAnsi="Times New Roman" w:cs="Times New Roman" w:hint="eastAsia"/>
          <w:kern w:val="0"/>
          <w:sz w:val="32"/>
          <w:szCs w:val="32"/>
        </w:rPr>
        <w:t>按照原账的</w:t>
      </w:r>
      <w:r w:rsidRPr="001F524C">
        <w:rPr>
          <w:rFonts w:ascii="Times New Roman" w:eastAsia="仿宋_GB2312" w:hAnsi="Times New Roman" w:cs="Times New Roman" w:hint="eastAsia"/>
          <w:sz w:val="32"/>
          <w:szCs w:val="32"/>
        </w:rPr>
        <w:t>“其他资金结转结余——非项目结余”科目余额，借记新账的“资金结存——货币资金”科目，贷记新账的“非财政拨款结余”科目。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对新账“非财政拨款结余”科目及“资金结存”科目余额进行调整</w:t>
      </w:r>
    </w:p>
    <w:p w:rsidR="004315C7" w:rsidRPr="004C064C" w:rsidRDefault="008B626F">
      <w:pPr>
        <w:ind w:firstLineChars="221" w:firstLine="707"/>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单位按照</w:t>
      </w:r>
      <w:r w:rsidR="001F524C" w:rsidRPr="001F524C">
        <w:rPr>
          <w:rFonts w:ascii="Times New Roman" w:eastAsia="仿宋_GB2312" w:hAnsi="Times New Roman" w:cs="Times New Roman" w:hint="eastAsia"/>
          <w:sz w:val="32"/>
          <w:szCs w:val="32"/>
        </w:rPr>
        <w:t>新制度</w:t>
      </w:r>
      <w:r>
        <w:rPr>
          <w:rFonts w:ascii="Times New Roman" w:eastAsia="仿宋_GB2312" w:hAnsi="Times New Roman" w:cs="Times New Roman" w:hint="eastAsia"/>
          <w:sz w:val="32"/>
          <w:szCs w:val="32"/>
        </w:rPr>
        <w:t>规定将原账</w:t>
      </w:r>
      <w:r w:rsidR="001F524C" w:rsidRPr="001F524C">
        <w:rPr>
          <w:rFonts w:ascii="Times New Roman" w:eastAsia="仿宋_GB2312" w:hAnsi="Times New Roman" w:cs="Times New Roman" w:hint="eastAsia"/>
          <w:sz w:val="32"/>
          <w:szCs w:val="32"/>
        </w:rPr>
        <w:t>其他应收款中的预付款项</w:t>
      </w:r>
      <w:r w:rsidR="00801B3D">
        <w:rPr>
          <w:rFonts w:ascii="Times New Roman" w:eastAsia="仿宋_GB2312" w:hAnsi="Times New Roman" w:cs="Times New Roman" w:hint="eastAsia"/>
          <w:sz w:val="32"/>
          <w:szCs w:val="32"/>
        </w:rPr>
        <w:t>计</w:t>
      </w:r>
      <w:r w:rsidR="00801B3D" w:rsidRPr="001F524C">
        <w:rPr>
          <w:rFonts w:ascii="Times New Roman" w:eastAsia="仿宋_GB2312" w:hAnsi="Times New Roman" w:cs="Times New Roman" w:hint="eastAsia"/>
          <w:sz w:val="32"/>
          <w:szCs w:val="32"/>
        </w:rPr>
        <w:t>入</w:t>
      </w:r>
      <w:r w:rsidR="001F524C" w:rsidRPr="001F524C">
        <w:rPr>
          <w:rFonts w:ascii="Times New Roman" w:eastAsia="仿宋_GB2312" w:hAnsi="Times New Roman" w:cs="Times New Roman" w:hint="eastAsia"/>
          <w:sz w:val="32"/>
          <w:szCs w:val="32"/>
        </w:rPr>
        <w:t>预算支出的，应当对原账的“其他应收款”科目余额进行分</w:t>
      </w:r>
      <w:r w:rsidR="001F524C" w:rsidRPr="001F524C">
        <w:rPr>
          <w:rFonts w:ascii="Times New Roman" w:eastAsia="仿宋_GB2312" w:hAnsi="Times New Roman" w:cs="Times New Roman" w:hint="eastAsia"/>
          <w:sz w:val="32"/>
          <w:szCs w:val="32"/>
        </w:rPr>
        <w:lastRenderedPageBreak/>
        <w:t>析，区分其中预付款项的金额（将来很可能列支）和非预付款项的金额，并对预付款项的金额划分为财政拨款资金预付的金额、非财政拨款专项资金预付的金额和非财政拨款非专项资金预付的金额，按照非财政拨款非专项资金预付的金额，借记</w:t>
      </w:r>
      <w:r w:rsidR="0044391C">
        <w:rPr>
          <w:rFonts w:ascii="Times New Roman" w:eastAsia="仿宋_GB2312" w:hAnsi="Times New Roman" w:cs="Times New Roman" w:hint="eastAsia"/>
          <w:sz w:val="32"/>
          <w:szCs w:val="32"/>
        </w:rPr>
        <w:t>新账的</w:t>
      </w:r>
      <w:r>
        <w:rPr>
          <w:rFonts w:ascii="Times New Roman" w:eastAsia="仿宋_GB2312" w:hAnsi="Times New Roman" w:cs="Times New Roman" w:hint="eastAsia"/>
          <w:sz w:val="32"/>
          <w:szCs w:val="32"/>
        </w:rPr>
        <w:t>“</w:t>
      </w:r>
      <w:r w:rsidR="001F524C" w:rsidRPr="001F524C">
        <w:rPr>
          <w:rFonts w:ascii="Times New Roman" w:eastAsia="仿宋_GB2312" w:hAnsi="Times New Roman" w:cs="Times New Roman" w:hint="eastAsia"/>
          <w:sz w:val="32"/>
          <w:szCs w:val="32"/>
        </w:rPr>
        <w:t>非财政拨款结余”科目，贷记</w:t>
      </w:r>
      <w:r w:rsidR="0044391C">
        <w:rPr>
          <w:rFonts w:ascii="Times New Roman" w:eastAsia="仿宋_GB2312" w:hAnsi="Times New Roman" w:cs="Times New Roman" w:hint="eastAsia"/>
          <w:sz w:val="32"/>
          <w:szCs w:val="32"/>
        </w:rPr>
        <w:t>新账的</w:t>
      </w:r>
      <w:r w:rsidR="001F524C" w:rsidRPr="001F524C">
        <w:rPr>
          <w:rFonts w:ascii="Times New Roman" w:eastAsia="仿宋_GB2312" w:hAnsi="Times New Roman" w:cs="Times New Roman" w:hint="eastAsia"/>
          <w:sz w:val="32"/>
          <w:szCs w:val="32"/>
        </w:rPr>
        <w:t>“资金结存——货币资金”科目。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（四）预算收入类、预算支出类会计科目</w:t>
      </w:r>
    </w:p>
    <w:p w:rsidR="004315C7" w:rsidRPr="004C064C" w:rsidRDefault="001F524C">
      <w:pPr>
        <w:ind w:firstLineChars="221" w:firstLine="707"/>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由于预算收入类、预算支出类会计科目年初无余额，在新旧制度转换时</w:t>
      </w:r>
      <w:r w:rsidRPr="001F524C">
        <w:rPr>
          <w:rFonts w:ascii="Times New Roman" w:eastAsia="仿宋_GB2312" w:hAnsi="Times New Roman" w:cs="Times New Roman" w:hint="eastAsia"/>
          <w:kern w:val="0"/>
          <w:sz w:val="32"/>
          <w:szCs w:val="32"/>
        </w:rPr>
        <w:t>，</w:t>
      </w:r>
      <w:r w:rsidR="00231900">
        <w:rPr>
          <w:rFonts w:ascii="Times New Roman" w:eastAsia="仿宋_GB2312" w:hAnsi="Times New Roman" w:cs="Times New Roman" w:hint="eastAsia"/>
          <w:kern w:val="0"/>
          <w:sz w:val="32"/>
          <w:szCs w:val="32"/>
        </w:rPr>
        <w:t>单位</w:t>
      </w:r>
      <w:r w:rsidRPr="001F524C">
        <w:rPr>
          <w:rFonts w:ascii="Times New Roman" w:eastAsia="仿宋_GB2312" w:hAnsi="Times New Roman" w:cs="Times New Roman" w:hint="eastAsia"/>
          <w:kern w:val="0"/>
          <w:sz w:val="32"/>
          <w:szCs w:val="32"/>
        </w:rPr>
        <w:t>无需对</w:t>
      </w:r>
      <w:r w:rsidRPr="001F524C">
        <w:rPr>
          <w:rFonts w:ascii="Times New Roman" w:eastAsia="仿宋_GB2312" w:hAnsi="Times New Roman" w:cs="Times New Roman" w:hint="eastAsia"/>
          <w:sz w:val="32"/>
          <w:szCs w:val="32"/>
        </w:rPr>
        <w:t>预算收入类、预算支出类会计科目进行新账年初余额登记。</w:t>
      </w:r>
    </w:p>
    <w:p w:rsidR="00673378" w:rsidRDefault="00FB30F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r w:rsidRPr="004C064C">
        <w:rPr>
          <w:rFonts w:ascii="Times New Roman" w:eastAsia="仿宋_GB2312" w:hAnsi="Times New Roman" w:cs="Times New Roman"/>
          <w:sz w:val="32"/>
          <w:szCs w:val="32"/>
        </w:rPr>
        <w:t>应当</w:t>
      </w:r>
      <w:r w:rsidR="001F524C" w:rsidRPr="001F524C">
        <w:rPr>
          <w:rFonts w:ascii="Times New Roman" w:eastAsia="仿宋_GB2312" w:hAnsi="Times New Roman" w:cs="Times New Roman" w:hint="eastAsia"/>
          <w:sz w:val="32"/>
          <w:szCs w:val="32"/>
        </w:rPr>
        <w:t>自</w:t>
      </w:r>
      <w:r w:rsidR="001F524C" w:rsidRPr="001F524C">
        <w:rPr>
          <w:rFonts w:ascii="Times New Roman" w:eastAsia="仿宋_GB2312" w:hAnsi="Times New Roman" w:cs="Times New Roman"/>
          <w:sz w:val="32"/>
          <w:szCs w:val="32"/>
        </w:rPr>
        <w:t>2019</w:t>
      </w:r>
      <w:r w:rsidR="001F524C" w:rsidRPr="001F524C">
        <w:rPr>
          <w:rFonts w:ascii="Times New Roman" w:eastAsia="仿宋_GB2312" w:hAnsi="Times New Roman" w:cs="Times New Roman" w:hint="eastAsia"/>
          <w:sz w:val="32"/>
          <w:szCs w:val="32"/>
        </w:rPr>
        <w:t>年</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月</w:t>
      </w:r>
      <w:r w:rsidR="001F524C" w:rsidRPr="001F524C">
        <w:rPr>
          <w:rFonts w:ascii="Times New Roman" w:eastAsia="仿宋_GB2312" w:hAnsi="Times New Roman" w:cs="Times New Roman"/>
          <w:sz w:val="32"/>
          <w:szCs w:val="32"/>
        </w:rPr>
        <w:t>1</w:t>
      </w:r>
      <w:r w:rsidR="001F524C" w:rsidRPr="001F524C">
        <w:rPr>
          <w:rFonts w:ascii="Times New Roman" w:eastAsia="仿宋_GB2312" w:hAnsi="Times New Roman" w:cs="Times New Roman" w:hint="eastAsia"/>
          <w:sz w:val="32"/>
          <w:szCs w:val="32"/>
        </w:rPr>
        <w:t>日起，按照新制度设置预算收入类、预算支出类科目并进行账务处理。</w:t>
      </w:r>
    </w:p>
    <w:p w:rsidR="00673378" w:rsidRDefault="001F524C">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单位存在</w:t>
      </w:r>
      <w:r w:rsidRPr="001F524C">
        <w:rPr>
          <w:rFonts w:ascii="Times New Roman" w:eastAsia="仿宋_GB2312" w:hAnsi="Times New Roman" w:cs="Times New Roman"/>
          <w:sz w:val="32"/>
          <w:szCs w:val="32"/>
        </w:rPr>
        <w:t>2018</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12</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31</w:t>
      </w:r>
      <w:r w:rsidRPr="001F524C">
        <w:rPr>
          <w:rFonts w:ascii="Times New Roman" w:eastAsia="仿宋_GB2312" w:hAnsi="Times New Roman" w:cs="Times New Roman" w:hint="eastAsia"/>
          <w:sz w:val="32"/>
          <w:szCs w:val="32"/>
        </w:rPr>
        <w:t>日前需要按照新制度预算会计核算基础调整预算会计科目期初余额的其他事项的，应当比照本规定调整新账的相应预算会计科目期初余额。</w:t>
      </w:r>
    </w:p>
    <w:p w:rsidR="00673378" w:rsidRDefault="001F524C">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单位对预算会计</w:t>
      </w:r>
      <w:r w:rsidR="0076110C">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的期初余额登记和调整，应当编制记账凭证，并将期初余额</w:t>
      </w:r>
      <w:r w:rsidR="0076110C" w:rsidRPr="001F524C">
        <w:rPr>
          <w:rFonts w:ascii="Times New Roman" w:eastAsia="仿宋_GB2312" w:hAnsi="Times New Roman" w:cs="Times New Roman" w:hint="eastAsia"/>
          <w:sz w:val="32"/>
          <w:szCs w:val="32"/>
        </w:rPr>
        <w:t>登记</w:t>
      </w:r>
      <w:r w:rsidRPr="001F524C">
        <w:rPr>
          <w:rFonts w:ascii="Times New Roman" w:eastAsia="仿宋_GB2312" w:hAnsi="Times New Roman" w:cs="Times New Roman" w:hint="eastAsia"/>
          <w:sz w:val="32"/>
          <w:szCs w:val="32"/>
        </w:rPr>
        <w:t>和调整的依据</w:t>
      </w:r>
      <w:r w:rsidR="0076110C">
        <w:rPr>
          <w:rFonts w:ascii="Times New Roman" w:eastAsia="仿宋_GB2312" w:hAnsi="Times New Roman" w:cs="Times New Roman" w:hint="eastAsia"/>
          <w:sz w:val="32"/>
          <w:szCs w:val="32"/>
        </w:rPr>
        <w:t>作为</w:t>
      </w:r>
      <w:r w:rsidRPr="001F524C">
        <w:rPr>
          <w:rFonts w:ascii="Times New Roman" w:eastAsia="仿宋_GB2312" w:hAnsi="Times New Roman" w:cs="Times New Roman" w:hint="eastAsia"/>
          <w:sz w:val="32"/>
          <w:szCs w:val="32"/>
        </w:rPr>
        <w:t>原始凭证。</w:t>
      </w:r>
    </w:p>
    <w:p w:rsidR="004315C7" w:rsidRPr="004C064C" w:rsidRDefault="001F524C">
      <w:pPr>
        <w:ind w:firstLineChars="221" w:firstLine="707"/>
        <w:rPr>
          <w:rFonts w:ascii="黑体" w:eastAsia="黑体" w:hAnsi="黑体" w:cs="Times New Roman"/>
          <w:bCs/>
          <w:sz w:val="32"/>
          <w:szCs w:val="32"/>
        </w:rPr>
      </w:pPr>
      <w:r w:rsidRPr="001F524C">
        <w:rPr>
          <w:rFonts w:ascii="黑体" w:eastAsia="黑体" w:hAnsi="黑体" w:cs="Times New Roman" w:hint="eastAsia"/>
          <w:bCs/>
          <w:sz w:val="32"/>
          <w:szCs w:val="32"/>
        </w:rPr>
        <w:t>四、财务报表和预算会计报表的新旧衔接</w:t>
      </w:r>
    </w:p>
    <w:p w:rsidR="004315C7" w:rsidRPr="004C064C" w:rsidRDefault="001F524C" w:rsidP="00673378">
      <w:pPr>
        <w:ind w:firstLineChars="200" w:firstLine="640"/>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t>（一）编制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w:t>
      </w:r>
    </w:p>
    <w:p w:rsidR="004315C7" w:rsidRPr="004C064C" w:rsidRDefault="001F524C">
      <w:pPr>
        <w:ind w:firstLine="420"/>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t xml:space="preserve"> </w:t>
      </w:r>
      <w:r w:rsidRPr="001F524C">
        <w:rPr>
          <w:rFonts w:ascii="Times New Roman" w:eastAsia="仿宋_GB2312" w:hAnsi="Times New Roman" w:cs="Times New Roman" w:hint="eastAsia"/>
          <w:sz w:val="32"/>
          <w:szCs w:val="32"/>
        </w:rPr>
        <w:t>单位应当根据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日新账的财务会计</w:t>
      </w:r>
      <w:r w:rsidR="0076110C">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余额，按照新制度编制</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日资产负债表（仅要求填列各项目</w:t>
      </w:r>
      <w:r w:rsidR="0076110C">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年初余额</w:t>
      </w:r>
      <w:r w:rsidR="0076110C">
        <w:rPr>
          <w:rFonts w:ascii="Times New Roman" w:eastAsia="仿宋_GB2312" w:hAnsi="Times New Roman" w:cs="Times New Roman" w:hint="eastAsia"/>
          <w:sz w:val="32"/>
          <w:szCs w:val="32"/>
        </w:rPr>
        <w:t>”</w:t>
      </w:r>
      <w:r w:rsidRPr="001F524C">
        <w:rPr>
          <w:rFonts w:ascii="Times New Roman" w:eastAsia="仿宋_GB2312" w:hAnsi="Times New Roman" w:cs="Times New Roman" w:hint="eastAsia"/>
          <w:sz w:val="32"/>
          <w:szCs w:val="32"/>
        </w:rPr>
        <w:t>）。</w:t>
      </w:r>
    </w:p>
    <w:p w:rsidR="004315C7" w:rsidRPr="004C064C" w:rsidRDefault="001F524C">
      <w:pPr>
        <w:autoSpaceDE w:val="0"/>
        <w:autoSpaceDN w:val="0"/>
        <w:adjustRightInd w:val="0"/>
        <w:ind w:firstLineChars="200" w:firstLine="640"/>
        <w:jc w:val="left"/>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lastRenderedPageBreak/>
        <w:t>（</w:t>
      </w:r>
      <w:r w:rsidR="00673378">
        <w:rPr>
          <w:rFonts w:ascii="Times New Roman" w:eastAsia="仿宋_GB2312" w:hAnsi="Times New Roman" w:cs="Times New Roman" w:hint="eastAsia"/>
          <w:sz w:val="32"/>
          <w:szCs w:val="32"/>
        </w:rPr>
        <w:t>二</w:t>
      </w:r>
      <w:r w:rsidRPr="001F524C">
        <w:rPr>
          <w:rFonts w:ascii="Times New Roman" w:eastAsia="仿宋_GB2312" w:hAnsi="Times New Roman" w:cs="Times New Roman" w:hint="eastAsia"/>
          <w:sz w:val="32"/>
          <w:szCs w:val="32"/>
        </w:rPr>
        <w:t>）</w:t>
      </w:r>
      <w:r w:rsidRPr="001F524C">
        <w:rPr>
          <w:rFonts w:ascii="Times New Roman" w:eastAsia="仿宋_GB2312" w:hAnsi="Times New Roman" w:cs="Times New Roman"/>
          <w:kern w:val="0"/>
          <w:sz w:val="32"/>
          <w:szCs w:val="32"/>
        </w:rPr>
        <w:t>2019</w:t>
      </w:r>
      <w:r w:rsidRPr="001F524C">
        <w:rPr>
          <w:rFonts w:ascii="Times New Roman" w:eastAsia="仿宋_GB2312" w:hAnsi="Times New Roman" w:cs="Times New Roman" w:hint="eastAsia"/>
          <w:kern w:val="0"/>
          <w:sz w:val="32"/>
          <w:szCs w:val="32"/>
        </w:rPr>
        <w:t>年度财务报表和预算会计报表的编制</w:t>
      </w:r>
    </w:p>
    <w:p w:rsidR="004315C7" w:rsidRDefault="001F524C">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kern w:val="0"/>
          <w:sz w:val="32"/>
          <w:szCs w:val="32"/>
        </w:rPr>
        <w:t>单位应当按照新制度规定编制</w:t>
      </w:r>
      <w:r w:rsidRPr="001F524C">
        <w:rPr>
          <w:rFonts w:ascii="Times New Roman" w:eastAsia="仿宋_GB2312" w:hAnsi="Times New Roman" w:cs="Times New Roman"/>
          <w:kern w:val="0"/>
          <w:sz w:val="32"/>
          <w:szCs w:val="32"/>
        </w:rPr>
        <w:t>2019</w:t>
      </w:r>
      <w:r w:rsidRPr="001F524C">
        <w:rPr>
          <w:rFonts w:ascii="Times New Roman" w:eastAsia="仿宋_GB2312" w:hAnsi="Times New Roman" w:cs="Times New Roman" w:hint="eastAsia"/>
          <w:kern w:val="0"/>
          <w:sz w:val="32"/>
          <w:szCs w:val="32"/>
        </w:rPr>
        <w:t>年财务报表和预算会计报表。</w:t>
      </w:r>
      <w:r w:rsidR="006F67CD">
        <w:rPr>
          <w:rFonts w:ascii="Times New Roman" w:eastAsia="仿宋_GB2312" w:hAnsi="Times New Roman" w:cs="Times New Roman" w:hint="eastAsia"/>
          <w:kern w:val="0"/>
          <w:sz w:val="32"/>
          <w:szCs w:val="32"/>
        </w:rPr>
        <w:t>在编制</w:t>
      </w:r>
      <w:r w:rsidR="006F67CD">
        <w:rPr>
          <w:rFonts w:ascii="Times New Roman" w:eastAsia="仿宋_GB2312" w:hAnsi="Times New Roman" w:cs="Times New Roman" w:hint="eastAsia"/>
          <w:kern w:val="0"/>
          <w:sz w:val="32"/>
          <w:szCs w:val="32"/>
        </w:rPr>
        <w:t>2019</w:t>
      </w:r>
      <w:r w:rsidR="006F67CD">
        <w:rPr>
          <w:rFonts w:ascii="Times New Roman" w:eastAsia="仿宋_GB2312" w:hAnsi="Times New Roman" w:cs="Times New Roman" w:hint="eastAsia"/>
          <w:kern w:val="0"/>
          <w:sz w:val="32"/>
          <w:szCs w:val="32"/>
        </w:rPr>
        <w:t>年度收入费用表、净资产变动表、现金流量表</w:t>
      </w:r>
      <w:r w:rsidR="004F59C9">
        <w:rPr>
          <w:rFonts w:ascii="Times New Roman" w:eastAsia="仿宋_GB2312" w:hAnsi="Times New Roman" w:cs="Times New Roman" w:hint="eastAsia"/>
          <w:kern w:val="0"/>
          <w:sz w:val="32"/>
          <w:szCs w:val="32"/>
        </w:rPr>
        <w:t>和</w:t>
      </w:r>
      <w:r w:rsidR="006F67CD">
        <w:rPr>
          <w:rFonts w:ascii="Times New Roman" w:eastAsia="仿宋_GB2312" w:hAnsi="Times New Roman" w:cs="Times New Roman" w:hint="eastAsia"/>
          <w:kern w:val="0"/>
          <w:sz w:val="32"/>
          <w:szCs w:val="32"/>
        </w:rPr>
        <w:t>预算收入支出表、预算结转结余变动表</w:t>
      </w:r>
      <w:r w:rsidR="004F59C9">
        <w:rPr>
          <w:rFonts w:ascii="Times New Roman" w:eastAsia="仿宋_GB2312" w:hAnsi="Times New Roman" w:cs="Times New Roman" w:hint="eastAsia"/>
          <w:kern w:val="0"/>
          <w:sz w:val="32"/>
          <w:szCs w:val="32"/>
        </w:rPr>
        <w:t>时，不要求填列上年比较数。</w:t>
      </w:r>
    </w:p>
    <w:p w:rsidR="00673378" w:rsidRPr="004C064C" w:rsidRDefault="00673378">
      <w:pPr>
        <w:ind w:firstLineChars="221" w:firstLine="707"/>
        <w:rPr>
          <w:rFonts w:ascii="Times New Roman" w:eastAsia="仿宋_GB2312" w:hAnsi="Times New Roman" w:cs="Times New Roman"/>
          <w:kern w:val="0"/>
          <w:sz w:val="32"/>
          <w:szCs w:val="32"/>
        </w:rPr>
      </w:pPr>
      <w:r w:rsidRPr="001F524C">
        <w:rPr>
          <w:rFonts w:ascii="Times New Roman" w:eastAsia="仿宋_GB2312" w:hAnsi="Times New Roman" w:cs="Times New Roman" w:hint="eastAsia"/>
          <w:sz w:val="32"/>
          <w:szCs w:val="32"/>
        </w:rPr>
        <w:t>单位应当根据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日新账财务会计</w:t>
      </w:r>
      <w:r w:rsidR="0076110C">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余额，填列</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年净资产变动表</w:t>
      </w:r>
      <w:r w:rsidR="006F67CD">
        <w:rPr>
          <w:rFonts w:ascii="Times New Roman" w:eastAsia="仿宋_GB2312" w:hAnsi="Times New Roman" w:cs="Times New Roman" w:hint="eastAsia"/>
          <w:sz w:val="32"/>
          <w:szCs w:val="32"/>
        </w:rPr>
        <w:t>各项目的</w:t>
      </w:r>
      <w:r w:rsidR="0076110C">
        <w:rPr>
          <w:rFonts w:ascii="Times New Roman" w:eastAsia="仿宋_GB2312" w:hAnsi="Times New Roman" w:cs="Times New Roman" w:hint="eastAsia"/>
          <w:sz w:val="32"/>
          <w:szCs w:val="32"/>
        </w:rPr>
        <w:t>“上年</w:t>
      </w:r>
      <w:r w:rsidR="006F67CD">
        <w:rPr>
          <w:rFonts w:ascii="Times New Roman" w:eastAsia="仿宋_GB2312" w:hAnsi="Times New Roman" w:cs="Times New Roman" w:hint="eastAsia"/>
          <w:sz w:val="32"/>
          <w:szCs w:val="32"/>
        </w:rPr>
        <w:t>年</w:t>
      </w:r>
      <w:r w:rsidR="0076110C">
        <w:rPr>
          <w:rFonts w:ascii="Times New Roman" w:eastAsia="仿宋_GB2312" w:hAnsi="Times New Roman" w:cs="Times New Roman" w:hint="eastAsia"/>
          <w:sz w:val="32"/>
          <w:szCs w:val="32"/>
        </w:rPr>
        <w:t>末余额”</w:t>
      </w:r>
      <w:r w:rsidRPr="001F524C">
        <w:rPr>
          <w:rFonts w:ascii="Times New Roman" w:eastAsia="仿宋_GB2312" w:hAnsi="Times New Roman" w:cs="Times New Roman" w:hint="eastAsia"/>
          <w:sz w:val="32"/>
          <w:szCs w:val="32"/>
        </w:rPr>
        <w:t>；根据</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月</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日新账预算会计</w:t>
      </w:r>
      <w:r>
        <w:rPr>
          <w:rFonts w:ascii="Times New Roman" w:eastAsia="仿宋_GB2312" w:hAnsi="Times New Roman" w:cs="Times New Roman" w:hint="eastAsia"/>
          <w:sz w:val="32"/>
          <w:szCs w:val="32"/>
        </w:rPr>
        <w:t>科目</w:t>
      </w:r>
      <w:r w:rsidRPr="001F524C">
        <w:rPr>
          <w:rFonts w:ascii="Times New Roman" w:eastAsia="仿宋_GB2312" w:hAnsi="Times New Roman" w:cs="Times New Roman" w:hint="eastAsia"/>
          <w:sz w:val="32"/>
          <w:szCs w:val="32"/>
        </w:rPr>
        <w:t>余额，填列</w:t>
      </w:r>
      <w:r w:rsidRPr="001F524C">
        <w:rPr>
          <w:rFonts w:ascii="Times New Roman" w:eastAsia="仿宋_GB2312" w:hAnsi="Times New Roman" w:cs="Times New Roman"/>
          <w:sz w:val="32"/>
          <w:szCs w:val="32"/>
        </w:rPr>
        <w:t>2019</w:t>
      </w:r>
      <w:r w:rsidRPr="001F524C">
        <w:rPr>
          <w:rFonts w:ascii="Times New Roman" w:eastAsia="仿宋_GB2312" w:hAnsi="Times New Roman" w:cs="Times New Roman" w:hint="eastAsia"/>
          <w:sz w:val="32"/>
          <w:szCs w:val="32"/>
        </w:rPr>
        <w:t>年预算结转结余变动表</w:t>
      </w:r>
      <w:r w:rsidR="0076110C">
        <w:rPr>
          <w:rFonts w:ascii="Times New Roman" w:eastAsia="仿宋_GB2312" w:hAnsi="Times New Roman" w:cs="Times New Roman" w:hint="eastAsia"/>
          <w:sz w:val="32"/>
          <w:szCs w:val="32"/>
        </w:rPr>
        <w:t>的“年初预算结转结余”</w:t>
      </w:r>
      <w:r w:rsidR="00060C61">
        <w:rPr>
          <w:rFonts w:ascii="Times New Roman" w:eastAsia="仿宋_GB2312" w:hAnsi="Times New Roman" w:cs="Times New Roman" w:hint="eastAsia"/>
          <w:sz w:val="32"/>
          <w:szCs w:val="32"/>
        </w:rPr>
        <w:t>项目</w:t>
      </w:r>
      <w:r w:rsidRPr="001F524C">
        <w:rPr>
          <w:rFonts w:ascii="Times New Roman" w:eastAsia="仿宋_GB2312" w:hAnsi="Times New Roman" w:cs="Times New Roman" w:hint="eastAsia"/>
          <w:sz w:val="32"/>
          <w:szCs w:val="32"/>
        </w:rPr>
        <w:t>和财政拨款预算收入支出表的</w:t>
      </w:r>
      <w:r w:rsidR="0076110C">
        <w:rPr>
          <w:rFonts w:ascii="Times New Roman" w:eastAsia="仿宋_GB2312" w:hAnsi="Times New Roman" w:cs="Times New Roman" w:hint="eastAsia"/>
          <w:sz w:val="32"/>
          <w:szCs w:val="32"/>
        </w:rPr>
        <w:t>“年初财政拨款结转结余”</w:t>
      </w:r>
      <w:r w:rsidR="00060C61">
        <w:rPr>
          <w:rFonts w:ascii="Times New Roman" w:eastAsia="仿宋_GB2312" w:hAnsi="Times New Roman" w:cs="Times New Roman" w:hint="eastAsia"/>
          <w:sz w:val="32"/>
          <w:szCs w:val="32"/>
        </w:rPr>
        <w:t>项目</w:t>
      </w:r>
      <w:r w:rsidRPr="001F524C">
        <w:rPr>
          <w:rFonts w:ascii="Times New Roman" w:eastAsia="仿宋_GB2312" w:hAnsi="Times New Roman" w:cs="Times New Roman" w:hint="eastAsia"/>
          <w:sz w:val="32"/>
          <w:szCs w:val="32"/>
        </w:rPr>
        <w:t>。</w:t>
      </w:r>
    </w:p>
    <w:p w:rsidR="00C34F52" w:rsidRPr="004C064C" w:rsidRDefault="001F524C" w:rsidP="00C34F52">
      <w:pPr>
        <w:ind w:firstLineChars="200" w:firstLine="640"/>
        <w:rPr>
          <w:rFonts w:ascii="黑体" w:eastAsia="黑体" w:hAnsi="黑体" w:cs="Times New Roman"/>
          <w:bCs/>
          <w:sz w:val="32"/>
          <w:szCs w:val="32"/>
        </w:rPr>
      </w:pPr>
      <w:r w:rsidRPr="001F524C">
        <w:rPr>
          <w:rFonts w:ascii="黑体" w:eastAsia="黑体" w:hAnsi="黑体" w:cs="Times New Roman" w:hint="eastAsia"/>
          <w:bCs/>
          <w:sz w:val="32"/>
          <w:szCs w:val="32"/>
        </w:rPr>
        <w:t>五、其他事项</w:t>
      </w:r>
    </w:p>
    <w:p w:rsidR="001824BE" w:rsidRDefault="001824BE">
      <w:pPr>
        <w:widowControl/>
        <w:ind w:firstLineChars="177" w:firstLine="566"/>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（一）截至</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12</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31</w:t>
      </w:r>
      <w:r>
        <w:rPr>
          <w:rFonts w:ascii="Times New Roman" w:eastAsia="仿宋_GB2312" w:hAnsi="Times New Roman" w:cs="Times New Roman" w:hint="eastAsia"/>
          <w:kern w:val="0"/>
          <w:sz w:val="32"/>
          <w:szCs w:val="32"/>
        </w:rPr>
        <w:t>日尚未进行基建“并账</w:t>
      </w:r>
      <w:r w:rsidR="00FE7DFF">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的单位，</w:t>
      </w:r>
      <w:r w:rsidR="00FE7DFF">
        <w:rPr>
          <w:rFonts w:ascii="Times New Roman" w:eastAsia="仿宋_GB2312" w:hAnsi="Times New Roman" w:cs="Times New Roman" w:hint="eastAsia"/>
          <w:kern w:val="0"/>
          <w:sz w:val="32"/>
          <w:szCs w:val="32"/>
        </w:rPr>
        <w:t>应当首先参照《新旧行政单位会计制度有关衔接问题的处理规定》（财库〔</w:t>
      </w:r>
      <w:r w:rsidR="00FE7DFF">
        <w:rPr>
          <w:rFonts w:ascii="Times New Roman" w:eastAsia="仿宋_GB2312" w:hAnsi="Times New Roman" w:cs="Times New Roman" w:hint="eastAsia"/>
          <w:kern w:val="0"/>
          <w:sz w:val="32"/>
          <w:szCs w:val="32"/>
        </w:rPr>
        <w:t>2013</w:t>
      </w:r>
      <w:r w:rsidR="00FE7DFF">
        <w:rPr>
          <w:rFonts w:ascii="Times New Roman" w:eastAsia="仿宋_GB2312" w:hAnsi="Times New Roman" w:cs="Times New Roman" w:hint="eastAsia"/>
          <w:kern w:val="0"/>
          <w:sz w:val="32"/>
          <w:szCs w:val="32"/>
        </w:rPr>
        <w:t>〕</w:t>
      </w:r>
      <w:r w:rsidR="00FE7DFF">
        <w:rPr>
          <w:rFonts w:ascii="Times New Roman" w:eastAsia="仿宋_GB2312" w:hAnsi="Times New Roman" w:cs="Times New Roman" w:hint="eastAsia"/>
          <w:kern w:val="0"/>
          <w:sz w:val="32"/>
          <w:szCs w:val="32"/>
        </w:rPr>
        <w:t>219</w:t>
      </w:r>
      <w:r w:rsidR="00FE7DFF">
        <w:rPr>
          <w:rFonts w:ascii="Times New Roman" w:eastAsia="仿宋_GB2312" w:hAnsi="Times New Roman" w:cs="Times New Roman" w:hint="eastAsia"/>
          <w:kern w:val="0"/>
          <w:sz w:val="32"/>
          <w:szCs w:val="32"/>
        </w:rPr>
        <w:t>号），将基建账套相关数据并入</w:t>
      </w:r>
      <w:r w:rsidR="00FE7DFF">
        <w:rPr>
          <w:rFonts w:ascii="Times New Roman" w:eastAsia="仿宋_GB2312" w:hAnsi="Times New Roman" w:cs="Times New Roman" w:hint="eastAsia"/>
          <w:kern w:val="0"/>
          <w:sz w:val="32"/>
          <w:szCs w:val="32"/>
        </w:rPr>
        <w:t>2018</w:t>
      </w:r>
      <w:r w:rsidR="00FE7DFF">
        <w:rPr>
          <w:rFonts w:ascii="Times New Roman" w:eastAsia="仿宋_GB2312" w:hAnsi="Times New Roman" w:cs="Times New Roman" w:hint="eastAsia"/>
          <w:kern w:val="0"/>
          <w:sz w:val="32"/>
          <w:szCs w:val="32"/>
        </w:rPr>
        <w:t>年</w:t>
      </w:r>
      <w:r w:rsidR="00FE7DFF">
        <w:rPr>
          <w:rFonts w:ascii="Times New Roman" w:eastAsia="仿宋_GB2312" w:hAnsi="Times New Roman" w:cs="Times New Roman" w:hint="eastAsia"/>
          <w:kern w:val="0"/>
          <w:sz w:val="32"/>
          <w:szCs w:val="32"/>
        </w:rPr>
        <w:t>12</w:t>
      </w:r>
      <w:r w:rsidR="00FE7DFF">
        <w:rPr>
          <w:rFonts w:ascii="Times New Roman" w:eastAsia="仿宋_GB2312" w:hAnsi="Times New Roman" w:cs="Times New Roman" w:hint="eastAsia"/>
          <w:kern w:val="0"/>
          <w:sz w:val="32"/>
          <w:szCs w:val="32"/>
        </w:rPr>
        <w:t>月</w:t>
      </w:r>
      <w:r w:rsidR="00FE7DFF">
        <w:rPr>
          <w:rFonts w:ascii="Times New Roman" w:eastAsia="仿宋_GB2312" w:hAnsi="Times New Roman" w:cs="Times New Roman" w:hint="eastAsia"/>
          <w:kern w:val="0"/>
          <w:sz w:val="32"/>
          <w:szCs w:val="32"/>
        </w:rPr>
        <w:t>31</w:t>
      </w:r>
      <w:r w:rsidR="00FE7DFF">
        <w:rPr>
          <w:rFonts w:ascii="Times New Roman" w:eastAsia="仿宋_GB2312" w:hAnsi="Times New Roman" w:cs="Times New Roman" w:hint="eastAsia"/>
          <w:kern w:val="0"/>
          <w:sz w:val="32"/>
          <w:szCs w:val="32"/>
        </w:rPr>
        <w:t>日原账中的相关科目余额，再按照本规定将</w:t>
      </w:r>
      <w:r w:rsidR="00FE7DFF">
        <w:rPr>
          <w:rFonts w:ascii="Times New Roman" w:eastAsia="仿宋_GB2312" w:hAnsi="Times New Roman" w:cs="Times New Roman" w:hint="eastAsia"/>
          <w:kern w:val="0"/>
          <w:sz w:val="32"/>
          <w:szCs w:val="32"/>
        </w:rPr>
        <w:t>2018</w:t>
      </w:r>
      <w:r w:rsidR="00FE7DFF">
        <w:rPr>
          <w:rFonts w:ascii="Times New Roman" w:eastAsia="仿宋_GB2312" w:hAnsi="Times New Roman" w:cs="Times New Roman" w:hint="eastAsia"/>
          <w:kern w:val="0"/>
          <w:sz w:val="32"/>
          <w:szCs w:val="32"/>
        </w:rPr>
        <w:t>年</w:t>
      </w:r>
      <w:r w:rsidR="00FE7DFF">
        <w:rPr>
          <w:rFonts w:ascii="Times New Roman" w:eastAsia="仿宋_GB2312" w:hAnsi="Times New Roman" w:cs="Times New Roman" w:hint="eastAsia"/>
          <w:kern w:val="0"/>
          <w:sz w:val="32"/>
          <w:szCs w:val="32"/>
        </w:rPr>
        <w:t>12</w:t>
      </w:r>
      <w:r w:rsidR="00FE7DFF">
        <w:rPr>
          <w:rFonts w:ascii="Times New Roman" w:eastAsia="仿宋_GB2312" w:hAnsi="Times New Roman" w:cs="Times New Roman" w:hint="eastAsia"/>
          <w:kern w:val="0"/>
          <w:sz w:val="32"/>
          <w:szCs w:val="32"/>
        </w:rPr>
        <w:t>月</w:t>
      </w:r>
      <w:r w:rsidR="00FE7DFF">
        <w:rPr>
          <w:rFonts w:ascii="Times New Roman" w:eastAsia="仿宋_GB2312" w:hAnsi="Times New Roman" w:cs="Times New Roman" w:hint="eastAsia"/>
          <w:kern w:val="0"/>
          <w:sz w:val="32"/>
          <w:szCs w:val="32"/>
        </w:rPr>
        <w:t>31</w:t>
      </w:r>
      <w:r w:rsidR="00FE7DFF">
        <w:rPr>
          <w:rFonts w:ascii="Times New Roman" w:eastAsia="仿宋_GB2312" w:hAnsi="Times New Roman" w:cs="Times New Roman" w:hint="eastAsia"/>
          <w:kern w:val="0"/>
          <w:sz w:val="32"/>
          <w:szCs w:val="32"/>
        </w:rPr>
        <w:t>日原账相关会计科目余额转入新账相应科目。</w:t>
      </w:r>
    </w:p>
    <w:p w:rsidR="004315C7" w:rsidRPr="004C064C" w:rsidRDefault="00FE7DFF">
      <w:pPr>
        <w:widowControl/>
        <w:ind w:firstLineChars="177" w:firstLine="566"/>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001F524C" w:rsidRPr="001F524C">
        <w:rPr>
          <w:rFonts w:ascii="Times New Roman" w:eastAsia="仿宋_GB2312" w:hAnsi="Times New Roman" w:cs="Times New Roman"/>
          <w:kern w:val="0"/>
          <w:sz w:val="32"/>
          <w:szCs w:val="32"/>
        </w:rPr>
        <w:t>2019</w:t>
      </w:r>
      <w:r w:rsidR="001F524C" w:rsidRPr="001F524C">
        <w:rPr>
          <w:rFonts w:ascii="Times New Roman" w:eastAsia="仿宋_GB2312" w:hAnsi="Times New Roman" w:cs="Times New Roman" w:hint="eastAsia"/>
          <w:kern w:val="0"/>
          <w:sz w:val="32"/>
          <w:szCs w:val="32"/>
        </w:rPr>
        <w:t>年</w:t>
      </w:r>
      <w:r w:rsidR="001F524C" w:rsidRPr="001F524C">
        <w:rPr>
          <w:rFonts w:ascii="Times New Roman" w:eastAsia="仿宋_GB2312" w:hAnsi="Times New Roman" w:cs="Times New Roman"/>
          <w:kern w:val="0"/>
          <w:sz w:val="32"/>
          <w:szCs w:val="32"/>
        </w:rPr>
        <w:t>1</w:t>
      </w:r>
      <w:r w:rsidR="001F524C" w:rsidRPr="001F524C">
        <w:rPr>
          <w:rFonts w:ascii="Times New Roman" w:eastAsia="仿宋_GB2312" w:hAnsi="Times New Roman" w:cs="Times New Roman" w:hint="eastAsia"/>
          <w:kern w:val="0"/>
          <w:sz w:val="32"/>
          <w:szCs w:val="32"/>
        </w:rPr>
        <w:t>月</w:t>
      </w:r>
      <w:r w:rsidR="001F524C" w:rsidRPr="001F524C">
        <w:rPr>
          <w:rFonts w:ascii="Times New Roman" w:eastAsia="仿宋_GB2312" w:hAnsi="Times New Roman" w:cs="Times New Roman"/>
          <w:kern w:val="0"/>
          <w:sz w:val="32"/>
          <w:szCs w:val="32"/>
        </w:rPr>
        <w:t>1</w:t>
      </w:r>
      <w:r w:rsidR="001F524C" w:rsidRPr="001F524C">
        <w:rPr>
          <w:rFonts w:ascii="Times New Roman" w:eastAsia="仿宋_GB2312" w:hAnsi="Times New Roman" w:cs="Times New Roman" w:hint="eastAsia"/>
          <w:kern w:val="0"/>
          <w:sz w:val="32"/>
          <w:szCs w:val="32"/>
        </w:rPr>
        <w:t>日前执行新制度的单位，应当参照本规定做好新旧制度衔接工作。</w:t>
      </w:r>
      <w:r w:rsidR="001F524C" w:rsidRPr="001F524C">
        <w:rPr>
          <w:rFonts w:ascii="Times New Roman" w:eastAsia="仿宋_GB2312" w:hAnsi="Times New Roman" w:cs="Times New Roman"/>
          <w:sz w:val="32"/>
          <w:szCs w:val="32"/>
        </w:rPr>
        <w:br w:type="page"/>
      </w:r>
    </w:p>
    <w:p w:rsidR="004315C7" w:rsidRPr="004C064C" w:rsidRDefault="001F524C">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1</w:t>
      </w:r>
      <w:r w:rsidRPr="001F524C">
        <w:rPr>
          <w:rFonts w:ascii="Times New Roman" w:eastAsia="仿宋_GB2312" w:hAnsi="Times New Roman" w:cs="Times New Roman" w:hint="eastAsia"/>
          <w:sz w:val="32"/>
          <w:szCs w:val="32"/>
        </w:rPr>
        <w:t>：</w:t>
      </w:r>
    </w:p>
    <w:p w:rsidR="004315C7" w:rsidRPr="004C064C" w:rsidRDefault="001F524C">
      <w:pPr>
        <w:ind w:firstLine="420"/>
        <w:jc w:val="center"/>
        <w:rPr>
          <w:rFonts w:ascii="Times New Roman" w:eastAsia="仿宋_GB2312" w:hAnsi="Times New Roman" w:cs="Times New Roman"/>
          <w:b/>
          <w:sz w:val="32"/>
          <w:szCs w:val="32"/>
        </w:rPr>
      </w:pPr>
      <w:r w:rsidRPr="001F524C">
        <w:rPr>
          <w:rFonts w:ascii="Times New Roman" w:eastAsia="仿宋_GB2312" w:hAnsi="Times New Roman" w:cs="Times New Roman" w:hint="eastAsia"/>
          <w:b/>
          <w:sz w:val="32"/>
          <w:szCs w:val="32"/>
        </w:rPr>
        <w:t>行政单位原会计科目余额明细表一</w:t>
      </w:r>
    </w:p>
    <w:tbl>
      <w:tblPr>
        <w:tblStyle w:val="af2"/>
        <w:tblW w:w="8613" w:type="dxa"/>
        <w:tblLayout w:type="fixed"/>
        <w:tblLook w:val="04A0" w:firstRow="1" w:lastRow="0" w:firstColumn="1" w:lastColumn="0" w:noHBand="0" w:noVBand="1"/>
      </w:tblPr>
      <w:tblGrid>
        <w:gridCol w:w="1668"/>
        <w:gridCol w:w="3402"/>
        <w:gridCol w:w="708"/>
        <w:gridCol w:w="2835"/>
      </w:tblGrid>
      <w:tr w:rsidR="004315C7" w:rsidRPr="004C064C">
        <w:tc>
          <w:tcPr>
            <w:tcW w:w="1668"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总账科目</w:t>
            </w:r>
          </w:p>
        </w:tc>
        <w:tc>
          <w:tcPr>
            <w:tcW w:w="3402"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明细分类</w:t>
            </w:r>
          </w:p>
        </w:tc>
        <w:tc>
          <w:tcPr>
            <w:tcW w:w="708"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金额</w:t>
            </w:r>
          </w:p>
        </w:tc>
        <w:tc>
          <w:tcPr>
            <w:tcW w:w="2835"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备注</w:t>
            </w:r>
          </w:p>
        </w:tc>
      </w:tr>
      <w:tr w:rsidR="004315C7" w:rsidRPr="004C064C">
        <w:trPr>
          <w:trHeight w:val="278"/>
        </w:trPr>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库存现金</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库存现金</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70"/>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其中：受托代理现金</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银行存款</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银行存款</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其中：受托代理银行存款</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10"/>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其他货币资金</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其他应收款</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在途物资</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已经付款，尚未收到物资</w:t>
            </w:r>
          </w:p>
        </w:tc>
      </w:tr>
      <w:tr w:rsidR="004315C7" w:rsidRPr="004C064C">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存货</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在加工存货</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非在加工存货</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政府储备物资</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固定资产</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固定资产</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公共基础设施</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政府储备物资</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文物文化资产</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rPr>
          <w:trHeight w:val="369"/>
        </w:trPr>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保障性住房</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F62CE" w:rsidRPr="004C064C">
        <w:tc>
          <w:tcPr>
            <w:tcW w:w="1668" w:type="dxa"/>
            <w:vMerge w:val="restart"/>
            <w:vAlign w:val="center"/>
          </w:tcPr>
          <w:p w:rsidR="004F62CE" w:rsidRPr="001F524C" w:rsidRDefault="004F62C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累计折旧</w:t>
            </w:r>
          </w:p>
        </w:tc>
        <w:tc>
          <w:tcPr>
            <w:tcW w:w="3402" w:type="dxa"/>
            <w:vAlign w:val="center"/>
          </w:tcPr>
          <w:p w:rsidR="004F62CE" w:rsidRPr="001F524C" w:rsidRDefault="004F62C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固定资产累计折旧</w:t>
            </w:r>
          </w:p>
        </w:tc>
        <w:tc>
          <w:tcPr>
            <w:tcW w:w="708" w:type="dxa"/>
            <w:vAlign w:val="center"/>
          </w:tcPr>
          <w:p w:rsidR="004F62CE" w:rsidRPr="004C064C" w:rsidRDefault="004F62CE">
            <w:pPr>
              <w:rPr>
                <w:rFonts w:ascii="Times New Roman" w:eastAsia="仿宋_GB2312" w:hAnsi="Times New Roman" w:cs="Times New Roman"/>
                <w:sz w:val="24"/>
                <w:szCs w:val="24"/>
              </w:rPr>
            </w:pPr>
          </w:p>
        </w:tc>
        <w:tc>
          <w:tcPr>
            <w:tcW w:w="2835" w:type="dxa"/>
          </w:tcPr>
          <w:p w:rsidR="004F62CE" w:rsidRPr="004C064C" w:rsidRDefault="004F62CE">
            <w:pPr>
              <w:rPr>
                <w:rFonts w:ascii="Times New Roman" w:eastAsia="仿宋_GB2312" w:hAnsi="Times New Roman" w:cs="Times New Roman"/>
                <w:sz w:val="24"/>
                <w:szCs w:val="24"/>
              </w:rPr>
            </w:pPr>
          </w:p>
        </w:tc>
      </w:tr>
      <w:tr w:rsidR="004F62CE" w:rsidRPr="004C064C">
        <w:tc>
          <w:tcPr>
            <w:tcW w:w="1668" w:type="dxa"/>
            <w:vMerge/>
            <w:vAlign w:val="center"/>
          </w:tcPr>
          <w:p w:rsidR="004F62CE" w:rsidRPr="001F524C" w:rsidRDefault="004F62CE">
            <w:pPr>
              <w:rPr>
                <w:rFonts w:ascii="Times New Roman" w:eastAsia="仿宋_GB2312" w:hAnsi="Times New Roman" w:cs="Times New Roman"/>
                <w:sz w:val="24"/>
                <w:szCs w:val="24"/>
              </w:rPr>
            </w:pPr>
          </w:p>
        </w:tc>
        <w:tc>
          <w:tcPr>
            <w:tcW w:w="3402" w:type="dxa"/>
            <w:vAlign w:val="center"/>
          </w:tcPr>
          <w:p w:rsidR="004F62CE" w:rsidRPr="001F524C" w:rsidRDefault="004F62C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公共基础设施累计折旧</w:t>
            </w:r>
          </w:p>
        </w:tc>
        <w:tc>
          <w:tcPr>
            <w:tcW w:w="708" w:type="dxa"/>
            <w:vAlign w:val="center"/>
          </w:tcPr>
          <w:p w:rsidR="004F62CE" w:rsidRPr="004C064C" w:rsidRDefault="004F62CE">
            <w:pPr>
              <w:rPr>
                <w:rFonts w:ascii="Times New Roman" w:eastAsia="仿宋_GB2312" w:hAnsi="Times New Roman" w:cs="Times New Roman"/>
                <w:sz w:val="24"/>
                <w:szCs w:val="24"/>
              </w:rPr>
            </w:pPr>
          </w:p>
        </w:tc>
        <w:tc>
          <w:tcPr>
            <w:tcW w:w="2835" w:type="dxa"/>
          </w:tcPr>
          <w:p w:rsidR="004F62CE" w:rsidRPr="004C064C" w:rsidRDefault="004F62CE">
            <w:pPr>
              <w:rPr>
                <w:rFonts w:ascii="Times New Roman" w:eastAsia="仿宋_GB2312" w:hAnsi="Times New Roman" w:cs="Times New Roman"/>
                <w:sz w:val="24"/>
                <w:szCs w:val="24"/>
              </w:rPr>
            </w:pPr>
          </w:p>
        </w:tc>
      </w:tr>
      <w:tr w:rsidR="004F62CE" w:rsidRPr="004C064C">
        <w:tc>
          <w:tcPr>
            <w:tcW w:w="1668" w:type="dxa"/>
            <w:vMerge/>
            <w:vAlign w:val="center"/>
          </w:tcPr>
          <w:p w:rsidR="004F62CE" w:rsidRPr="001F524C" w:rsidRDefault="004F62CE">
            <w:pPr>
              <w:rPr>
                <w:rFonts w:ascii="Times New Roman" w:eastAsia="仿宋_GB2312" w:hAnsi="Times New Roman" w:cs="Times New Roman"/>
                <w:sz w:val="24"/>
                <w:szCs w:val="24"/>
              </w:rPr>
            </w:pPr>
          </w:p>
        </w:tc>
        <w:tc>
          <w:tcPr>
            <w:tcW w:w="3402" w:type="dxa"/>
            <w:vAlign w:val="center"/>
          </w:tcPr>
          <w:p w:rsidR="004F62CE" w:rsidRPr="004F62CE" w:rsidRDefault="004F62C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保障性住房累计折旧</w:t>
            </w:r>
          </w:p>
        </w:tc>
        <w:tc>
          <w:tcPr>
            <w:tcW w:w="708" w:type="dxa"/>
            <w:vAlign w:val="center"/>
          </w:tcPr>
          <w:p w:rsidR="004F62CE" w:rsidRPr="004C064C" w:rsidRDefault="004F62CE">
            <w:pPr>
              <w:rPr>
                <w:rFonts w:ascii="Times New Roman" w:eastAsia="仿宋_GB2312" w:hAnsi="Times New Roman" w:cs="Times New Roman"/>
                <w:sz w:val="24"/>
                <w:szCs w:val="24"/>
              </w:rPr>
            </w:pPr>
          </w:p>
        </w:tc>
        <w:tc>
          <w:tcPr>
            <w:tcW w:w="2835" w:type="dxa"/>
          </w:tcPr>
          <w:p w:rsidR="004F62CE" w:rsidRPr="004C064C" w:rsidRDefault="004F62CE">
            <w:pPr>
              <w:rPr>
                <w:rFonts w:ascii="Times New Roman" w:eastAsia="仿宋_GB2312" w:hAnsi="Times New Roman" w:cs="Times New Roman"/>
                <w:sz w:val="24"/>
                <w:szCs w:val="24"/>
              </w:rPr>
            </w:pPr>
          </w:p>
        </w:tc>
      </w:tr>
      <w:tr w:rsidR="009E557A" w:rsidRPr="004C064C">
        <w:tc>
          <w:tcPr>
            <w:tcW w:w="1668" w:type="dxa"/>
            <w:vMerge w:val="restart"/>
            <w:vAlign w:val="center"/>
          </w:tcPr>
          <w:p w:rsidR="009E557A" w:rsidRPr="004C064C" w:rsidRDefault="009E557A">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在建工程</w:t>
            </w:r>
          </w:p>
        </w:tc>
        <w:tc>
          <w:tcPr>
            <w:tcW w:w="3402" w:type="dxa"/>
            <w:vAlign w:val="center"/>
          </w:tcPr>
          <w:p w:rsidR="009E557A" w:rsidRPr="004C064C" w:rsidRDefault="009E557A">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在建工程</w:t>
            </w:r>
          </w:p>
        </w:tc>
        <w:tc>
          <w:tcPr>
            <w:tcW w:w="708" w:type="dxa"/>
            <w:vAlign w:val="center"/>
          </w:tcPr>
          <w:p w:rsidR="009E557A" w:rsidRPr="004C064C" w:rsidRDefault="009E557A">
            <w:pPr>
              <w:rPr>
                <w:rFonts w:ascii="Times New Roman" w:eastAsia="仿宋_GB2312" w:hAnsi="Times New Roman" w:cs="Times New Roman"/>
                <w:sz w:val="24"/>
                <w:szCs w:val="24"/>
              </w:rPr>
            </w:pPr>
          </w:p>
        </w:tc>
        <w:tc>
          <w:tcPr>
            <w:tcW w:w="2835" w:type="dxa"/>
          </w:tcPr>
          <w:p w:rsidR="009E557A" w:rsidRPr="004C064C" w:rsidRDefault="009E557A">
            <w:pPr>
              <w:rPr>
                <w:rFonts w:ascii="Times New Roman" w:eastAsia="仿宋_GB2312" w:hAnsi="Times New Roman" w:cs="Times New Roman"/>
                <w:sz w:val="24"/>
                <w:szCs w:val="24"/>
              </w:rPr>
            </w:pPr>
          </w:p>
        </w:tc>
      </w:tr>
      <w:tr w:rsidR="009E557A" w:rsidRPr="004C064C" w:rsidTr="009E557A">
        <w:trPr>
          <w:trHeight w:val="285"/>
        </w:trPr>
        <w:tc>
          <w:tcPr>
            <w:tcW w:w="1668" w:type="dxa"/>
            <w:vMerge/>
            <w:vAlign w:val="center"/>
          </w:tcPr>
          <w:p w:rsidR="009E557A" w:rsidRPr="004C064C" w:rsidRDefault="009E557A">
            <w:pPr>
              <w:rPr>
                <w:rFonts w:ascii="Times New Roman" w:eastAsia="仿宋_GB2312" w:hAnsi="Times New Roman" w:cs="Times New Roman"/>
                <w:sz w:val="24"/>
                <w:szCs w:val="24"/>
              </w:rPr>
            </w:pPr>
          </w:p>
        </w:tc>
        <w:tc>
          <w:tcPr>
            <w:tcW w:w="3402" w:type="dxa"/>
            <w:tcBorders>
              <w:bottom w:val="single" w:sz="4" w:space="0" w:color="auto"/>
            </w:tcBorders>
            <w:vAlign w:val="center"/>
          </w:tcPr>
          <w:p w:rsidR="009E557A" w:rsidRPr="004C064C" w:rsidRDefault="009E557A" w:rsidP="009E557A">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工程物资</w:t>
            </w:r>
          </w:p>
        </w:tc>
        <w:tc>
          <w:tcPr>
            <w:tcW w:w="708" w:type="dxa"/>
            <w:tcBorders>
              <w:bottom w:val="single" w:sz="4" w:space="0" w:color="auto"/>
            </w:tcBorders>
            <w:vAlign w:val="center"/>
          </w:tcPr>
          <w:p w:rsidR="009E557A" w:rsidRPr="004C064C" w:rsidRDefault="009E557A">
            <w:pPr>
              <w:rPr>
                <w:rFonts w:ascii="Times New Roman" w:eastAsia="仿宋_GB2312" w:hAnsi="Times New Roman" w:cs="Times New Roman"/>
                <w:sz w:val="24"/>
                <w:szCs w:val="24"/>
              </w:rPr>
            </w:pPr>
          </w:p>
        </w:tc>
        <w:tc>
          <w:tcPr>
            <w:tcW w:w="2835" w:type="dxa"/>
            <w:tcBorders>
              <w:bottom w:val="single" w:sz="4" w:space="0" w:color="auto"/>
            </w:tcBorders>
          </w:tcPr>
          <w:p w:rsidR="009E557A" w:rsidRPr="004C064C" w:rsidRDefault="009E557A">
            <w:pPr>
              <w:rPr>
                <w:rFonts w:ascii="Times New Roman" w:eastAsia="仿宋_GB2312" w:hAnsi="Times New Roman" w:cs="Times New Roman"/>
                <w:sz w:val="24"/>
                <w:szCs w:val="24"/>
              </w:rPr>
            </w:pPr>
          </w:p>
        </w:tc>
      </w:tr>
      <w:tr w:rsidR="009E557A" w:rsidRPr="004C064C" w:rsidTr="009E557A">
        <w:trPr>
          <w:trHeight w:val="330"/>
        </w:trPr>
        <w:tc>
          <w:tcPr>
            <w:tcW w:w="1668" w:type="dxa"/>
            <w:vMerge/>
            <w:vAlign w:val="center"/>
          </w:tcPr>
          <w:p w:rsidR="009E557A" w:rsidRPr="004C064C" w:rsidRDefault="009E557A">
            <w:pPr>
              <w:rPr>
                <w:rFonts w:ascii="Times New Roman" w:eastAsia="仿宋_GB2312" w:hAnsi="Times New Roman" w:cs="Times New Roman"/>
                <w:sz w:val="24"/>
                <w:szCs w:val="24"/>
              </w:rPr>
            </w:pPr>
          </w:p>
        </w:tc>
        <w:tc>
          <w:tcPr>
            <w:tcW w:w="3402" w:type="dxa"/>
            <w:tcBorders>
              <w:top w:val="single" w:sz="4" w:space="0" w:color="auto"/>
            </w:tcBorders>
            <w:vAlign w:val="center"/>
          </w:tcPr>
          <w:p w:rsidR="009E557A" w:rsidRPr="001F524C" w:rsidRDefault="009E557A" w:rsidP="009E557A">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预付工程款、预付备料款</w:t>
            </w:r>
          </w:p>
        </w:tc>
        <w:tc>
          <w:tcPr>
            <w:tcW w:w="708" w:type="dxa"/>
            <w:tcBorders>
              <w:top w:val="single" w:sz="4" w:space="0" w:color="auto"/>
            </w:tcBorders>
            <w:vAlign w:val="center"/>
          </w:tcPr>
          <w:p w:rsidR="009E557A" w:rsidRPr="004C064C" w:rsidRDefault="009E557A">
            <w:pPr>
              <w:rPr>
                <w:rFonts w:ascii="Times New Roman" w:eastAsia="仿宋_GB2312" w:hAnsi="Times New Roman" w:cs="Times New Roman"/>
                <w:sz w:val="24"/>
                <w:szCs w:val="24"/>
              </w:rPr>
            </w:pPr>
          </w:p>
        </w:tc>
        <w:tc>
          <w:tcPr>
            <w:tcW w:w="2835" w:type="dxa"/>
            <w:tcBorders>
              <w:top w:val="single" w:sz="4" w:space="0" w:color="auto"/>
            </w:tcBorders>
          </w:tcPr>
          <w:p w:rsidR="009E557A" w:rsidRPr="004C064C" w:rsidRDefault="009E557A">
            <w:pPr>
              <w:rPr>
                <w:rFonts w:ascii="Times New Roman" w:eastAsia="仿宋_GB2312" w:hAnsi="Times New Roman" w:cs="Times New Roman"/>
                <w:sz w:val="24"/>
                <w:szCs w:val="24"/>
              </w:rPr>
            </w:pPr>
          </w:p>
        </w:tc>
      </w:tr>
      <w:tr w:rsidR="004315C7" w:rsidRPr="004C064C">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应缴税费</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应交增值税</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其他应交税费</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tcPr>
          <w:p w:rsidR="004315C7" w:rsidRPr="004C064C" w:rsidRDefault="004315C7">
            <w:pPr>
              <w:rPr>
                <w:rFonts w:ascii="Times New Roman" w:eastAsia="仿宋_GB2312" w:hAnsi="Times New Roman" w:cs="Times New Roman"/>
                <w:sz w:val="24"/>
                <w:szCs w:val="24"/>
              </w:rPr>
            </w:pPr>
          </w:p>
        </w:tc>
      </w:tr>
      <w:tr w:rsidR="004315C7" w:rsidRPr="004C064C">
        <w:tc>
          <w:tcPr>
            <w:tcW w:w="1668"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应付账款</w:t>
            </w: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应付质量保证金</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购置固定资产、完成在建工程等扣留的质量保证金</w:t>
            </w:r>
          </w:p>
        </w:tc>
      </w:tr>
      <w:tr w:rsidR="004315C7" w:rsidRPr="004C064C">
        <w:tc>
          <w:tcPr>
            <w:tcW w:w="1668" w:type="dxa"/>
            <w:vMerge/>
            <w:vAlign w:val="center"/>
          </w:tcPr>
          <w:p w:rsidR="004315C7" w:rsidRPr="004C064C" w:rsidRDefault="004315C7">
            <w:pPr>
              <w:rPr>
                <w:rFonts w:ascii="Times New Roman" w:eastAsia="仿宋_GB2312" w:hAnsi="Times New Roman" w:cs="Times New Roman"/>
                <w:sz w:val="24"/>
                <w:szCs w:val="24"/>
              </w:rPr>
            </w:pPr>
          </w:p>
        </w:tc>
        <w:tc>
          <w:tcPr>
            <w:tcW w:w="3402"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w:t>
            </w:r>
          </w:p>
        </w:tc>
        <w:tc>
          <w:tcPr>
            <w:tcW w:w="708" w:type="dxa"/>
            <w:vAlign w:val="center"/>
          </w:tcPr>
          <w:p w:rsidR="004315C7" w:rsidRPr="004C064C" w:rsidRDefault="004315C7">
            <w:pPr>
              <w:rPr>
                <w:rFonts w:ascii="Times New Roman" w:eastAsia="仿宋_GB2312" w:hAnsi="Times New Roman" w:cs="Times New Roman"/>
                <w:sz w:val="24"/>
                <w:szCs w:val="24"/>
              </w:rPr>
            </w:pPr>
          </w:p>
        </w:tc>
        <w:tc>
          <w:tcPr>
            <w:tcW w:w="2835" w:type="dxa"/>
            <w:vAlign w:val="center"/>
          </w:tcPr>
          <w:p w:rsidR="004315C7" w:rsidRPr="004C064C" w:rsidRDefault="004315C7">
            <w:pPr>
              <w:rPr>
                <w:rFonts w:ascii="Times New Roman" w:eastAsia="仿宋_GB2312" w:hAnsi="Times New Roman" w:cs="Times New Roman"/>
                <w:sz w:val="24"/>
                <w:szCs w:val="24"/>
              </w:rPr>
            </w:pPr>
          </w:p>
        </w:tc>
      </w:tr>
    </w:tbl>
    <w:p w:rsidR="004315C7" w:rsidRPr="004C064C" w:rsidRDefault="004315C7">
      <w:pPr>
        <w:rPr>
          <w:rFonts w:ascii="Times New Roman" w:eastAsia="仿宋_GB2312" w:hAnsi="Times New Roman" w:cs="Times New Roman"/>
          <w:sz w:val="32"/>
          <w:szCs w:val="32"/>
        </w:rPr>
      </w:pPr>
    </w:p>
    <w:p w:rsidR="004315C7" w:rsidRPr="004C064C" w:rsidRDefault="001F524C">
      <w:pPr>
        <w:widowControl/>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br w:type="page"/>
      </w:r>
    </w:p>
    <w:p w:rsidR="004315C7" w:rsidRPr="004C064C" w:rsidRDefault="001F524C">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2</w:t>
      </w:r>
      <w:r w:rsidRPr="001F524C">
        <w:rPr>
          <w:rFonts w:ascii="Times New Roman" w:eastAsia="仿宋_GB2312" w:hAnsi="Times New Roman" w:cs="Times New Roman" w:hint="eastAsia"/>
          <w:sz w:val="32"/>
          <w:szCs w:val="32"/>
        </w:rPr>
        <w:t>：</w:t>
      </w:r>
    </w:p>
    <w:p w:rsidR="004315C7" w:rsidRPr="004C064C" w:rsidRDefault="001F524C">
      <w:pPr>
        <w:ind w:firstLine="420"/>
        <w:jc w:val="center"/>
        <w:rPr>
          <w:rFonts w:ascii="Times New Roman" w:eastAsia="仿宋_GB2312" w:hAnsi="Times New Roman" w:cs="Times New Roman"/>
          <w:b/>
          <w:sz w:val="32"/>
          <w:szCs w:val="32"/>
        </w:rPr>
      </w:pPr>
      <w:r w:rsidRPr="001F524C">
        <w:rPr>
          <w:rFonts w:ascii="Times New Roman" w:eastAsia="仿宋_GB2312" w:hAnsi="Times New Roman" w:cs="Times New Roman" w:hint="eastAsia"/>
          <w:b/>
          <w:sz w:val="32"/>
          <w:szCs w:val="32"/>
        </w:rPr>
        <w:t>行政单位原会计科目余额明细表二</w:t>
      </w:r>
    </w:p>
    <w:tbl>
      <w:tblPr>
        <w:tblStyle w:val="af2"/>
        <w:tblW w:w="8613" w:type="dxa"/>
        <w:tblLayout w:type="fixed"/>
        <w:tblLook w:val="04A0" w:firstRow="1" w:lastRow="0" w:firstColumn="1" w:lastColumn="0" w:noHBand="0" w:noVBand="1"/>
      </w:tblPr>
      <w:tblGrid>
        <w:gridCol w:w="1526"/>
        <w:gridCol w:w="3827"/>
        <w:gridCol w:w="851"/>
        <w:gridCol w:w="2409"/>
      </w:tblGrid>
      <w:tr w:rsidR="004315C7" w:rsidRPr="004C064C">
        <w:tc>
          <w:tcPr>
            <w:tcW w:w="1526"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总账科目</w:t>
            </w:r>
          </w:p>
        </w:tc>
        <w:tc>
          <w:tcPr>
            <w:tcW w:w="3827"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明细分类</w:t>
            </w:r>
          </w:p>
        </w:tc>
        <w:tc>
          <w:tcPr>
            <w:tcW w:w="851"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金额</w:t>
            </w:r>
          </w:p>
        </w:tc>
        <w:tc>
          <w:tcPr>
            <w:tcW w:w="2409" w:type="dxa"/>
            <w:vAlign w:val="center"/>
          </w:tcPr>
          <w:p w:rsidR="004315C7" w:rsidRPr="004C064C" w:rsidRDefault="001F524C">
            <w:pPr>
              <w:jc w:val="cente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备注</w:t>
            </w:r>
          </w:p>
        </w:tc>
      </w:tr>
      <w:tr w:rsidR="004315C7" w:rsidRPr="004C064C">
        <w:tc>
          <w:tcPr>
            <w:tcW w:w="1526" w:type="dxa"/>
            <w:vMerge w:val="restart"/>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其他应收款</w:t>
            </w:r>
          </w:p>
        </w:tc>
        <w:tc>
          <w:tcPr>
            <w:tcW w:w="3827"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预付款项</w:t>
            </w:r>
          </w:p>
        </w:tc>
        <w:tc>
          <w:tcPr>
            <w:tcW w:w="851" w:type="dxa"/>
            <w:vAlign w:val="center"/>
          </w:tcPr>
          <w:p w:rsidR="004315C7" w:rsidRPr="004C064C" w:rsidRDefault="004315C7">
            <w:pPr>
              <w:rPr>
                <w:rFonts w:ascii="Times New Roman" w:eastAsia="仿宋_GB2312" w:hAnsi="Times New Roman" w:cs="Times New Roman"/>
                <w:sz w:val="24"/>
                <w:szCs w:val="24"/>
              </w:rPr>
            </w:pPr>
          </w:p>
        </w:tc>
        <w:tc>
          <w:tcPr>
            <w:tcW w:w="2409" w:type="dxa"/>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如职工预借的差旅费等</w:t>
            </w:r>
          </w:p>
        </w:tc>
      </w:tr>
      <w:tr w:rsidR="004315C7" w:rsidRPr="004C064C">
        <w:tc>
          <w:tcPr>
            <w:tcW w:w="1526" w:type="dxa"/>
            <w:vMerge/>
            <w:vAlign w:val="center"/>
          </w:tcPr>
          <w:p w:rsidR="004315C7" w:rsidRPr="004C064C" w:rsidRDefault="004315C7">
            <w:pPr>
              <w:rPr>
                <w:rFonts w:ascii="Times New Roman" w:eastAsia="仿宋_GB2312" w:hAnsi="Times New Roman" w:cs="Times New Roman"/>
                <w:sz w:val="24"/>
                <w:szCs w:val="24"/>
              </w:rPr>
            </w:pPr>
          </w:p>
        </w:tc>
        <w:tc>
          <w:tcPr>
            <w:tcW w:w="3827"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其中：财政拨款资金预付</w:t>
            </w:r>
          </w:p>
        </w:tc>
        <w:tc>
          <w:tcPr>
            <w:tcW w:w="851" w:type="dxa"/>
            <w:vAlign w:val="center"/>
          </w:tcPr>
          <w:p w:rsidR="004315C7" w:rsidRPr="004C064C" w:rsidRDefault="004315C7">
            <w:pPr>
              <w:rPr>
                <w:rFonts w:ascii="Times New Roman" w:eastAsia="仿宋_GB2312" w:hAnsi="Times New Roman" w:cs="Times New Roman"/>
                <w:sz w:val="24"/>
                <w:szCs w:val="24"/>
              </w:rPr>
            </w:pPr>
          </w:p>
        </w:tc>
        <w:tc>
          <w:tcPr>
            <w:tcW w:w="2409" w:type="dxa"/>
          </w:tcPr>
          <w:p w:rsidR="004315C7" w:rsidRPr="004C064C" w:rsidRDefault="004315C7">
            <w:pPr>
              <w:rPr>
                <w:rFonts w:ascii="Times New Roman" w:eastAsia="仿宋_GB2312" w:hAnsi="Times New Roman" w:cs="Times New Roman"/>
                <w:sz w:val="24"/>
                <w:szCs w:val="24"/>
              </w:rPr>
            </w:pPr>
          </w:p>
        </w:tc>
      </w:tr>
      <w:tr w:rsidR="004315C7" w:rsidRPr="004C064C">
        <w:tc>
          <w:tcPr>
            <w:tcW w:w="1526" w:type="dxa"/>
            <w:vMerge/>
            <w:vAlign w:val="center"/>
          </w:tcPr>
          <w:p w:rsidR="004315C7" w:rsidRPr="004C064C" w:rsidRDefault="004315C7">
            <w:pPr>
              <w:rPr>
                <w:rFonts w:ascii="Times New Roman" w:eastAsia="仿宋_GB2312" w:hAnsi="Times New Roman" w:cs="Times New Roman"/>
                <w:sz w:val="24"/>
                <w:szCs w:val="24"/>
              </w:rPr>
            </w:pPr>
          </w:p>
        </w:tc>
        <w:tc>
          <w:tcPr>
            <w:tcW w:w="3827"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sz w:val="24"/>
                <w:szCs w:val="24"/>
              </w:rPr>
              <w:t xml:space="preserve">      </w:t>
            </w:r>
            <w:r w:rsidRPr="001F524C">
              <w:rPr>
                <w:rFonts w:ascii="Times New Roman" w:eastAsia="仿宋_GB2312" w:hAnsi="Times New Roman" w:cs="Times New Roman" w:hint="eastAsia"/>
                <w:sz w:val="24"/>
                <w:szCs w:val="24"/>
              </w:rPr>
              <w:t>非财政拨款专项资金预付</w:t>
            </w:r>
          </w:p>
        </w:tc>
        <w:tc>
          <w:tcPr>
            <w:tcW w:w="851" w:type="dxa"/>
            <w:vAlign w:val="center"/>
          </w:tcPr>
          <w:p w:rsidR="004315C7" w:rsidRPr="004C064C" w:rsidRDefault="004315C7">
            <w:pPr>
              <w:rPr>
                <w:rFonts w:ascii="Times New Roman" w:eastAsia="仿宋_GB2312" w:hAnsi="Times New Roman" w:cs="Times New Roman"/>
                <w:sz w:val="24"/>
                <w:szCs w:val="24"/>
              </w:rPr>
            </w:pPr>
          </w:p>
        </w:tc>
        <w:tc>
          <w:tcPr>
            <w:tcW w:w="2409" w:type="dxa"/>
          </w:tcPr>
          <w:p w:rsidR="004315C7" w:rsidRPr="004C064C" w:rsidRDefault="004315C7">
            <w:pPr>
              <w:rPr>
                <w:rFonts w:ascii="Times New Roman" w:eastAsia="仿宋_GB2312" w:hAnsi="Times New Roman" w:cs="Times New Roman"/>
                <w:sz w:val="24"/>
                <w:szCs w:val="24"/>
              </w:rPr>
            </w:pPr>
          </w:p>
        </w:tc>
      </w:tr>
      <w:tr w:rsidR="004315C7" w:rsidRPr="004C064C">
        <w:tc>
          <w:tcPr>
            <w:tcW w:w="1526" w:type="dxa"/>
            <w:vMerge/>
            <w:vAlign w:val="center"/>
          </w:tcPr>
          <w:p w:rsidR="004315C7" w:rsidRPr="004C064C" w:rsidRDefault="004315C7">
            <w:pPr>
              <w:rPr>
                <w:rFonts w:ascii="Times New Roman" w:eastAsia="仿宋_GB2312" w:hAnsi="Times New Roman" w:cs="Times New Roman"/>
                <w:sz w:val="24"/>
                <w:szCs w:val="24"/>
              </w:rPr>
            </w:pPr>
          </w:p>
        </w:tc>
        <w:tc>
          <w:tcPr>
            <w:tcW w:w="3827"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sz w:val="24"/>
                <w:szCs w:val="24"/>
              </w:rPr>
              <w:t xml:space="preserve">      </w:t>
            </w:r>
            <w:r w:rsidRPr="001F524C">
              <w:rPr>
                <w:rFonts w:ascii="Times New Roman" w:eastAsia="仿宋_GB2312" w:hAnsi="Times New Roman" w:cs="Times New Roman" w:hint="eastAsia"/>
                <w:sz w:val="24"/>
                <w:szCs w:val="24"/>
              </w:rPr>
              <w:t>非财政拨款非专项资金预付</w:t>
            </w:r>
          </w:p>
        </w:tc>
        <w:tc>
          <w:tcPr>
            <w:tcW w:w="851" w:type="dxa"/>
            <w:vAlign w:val="center"/>
          </w:tcPr>
          <w:p w:rsidR="004315C7" w:rsidRPr="004C064C" w:rsidRDefault="004315C7">
            <w:pPr>
              <w:rPr>
                <w:rFonts w:ascii="Times New Roman" w:eastAsia="仿宋_GB2312" w:hAnsi="Times New Roman" w:cs="Times New Roman"/>
                <w:sz w:val="24"/>
                <w:szCs w:val="24"/>
              </w:rPr>
            </w:pPr>
          </w:p>
        </w:tc>
        <w:tc>
          <w:tcPr>
            <w:tcW w:w="2409" w:type="dxa"/>
          </w:tcPr>
          <w:p w:rsidR="004315C7" w:rsidRPr="004C064C" w:rsidRDefault="004315C7">
            <w:pPr>
              <w:rPr>
                <w:rFonts w:ascii="Times New Roman" w:eastAsia="仿宋_GB2312" w:hAnsi="Times New Roman" w:cs="Times New Roman"/>
                <w:sz w:val="24"/>
                <w:szCs w:val="24"/>
              </w:rPr>
            </w:pPr>
          </w:p>
        </w:tc>
      </w:tr>
      <w:tr w:rsidR="004315C7" w:rsidRPr="004C064C">
        <w:tc>
          <w:tcPr>
            <w:tcW w:w="1526" w:type="dxa"/>
            <w:vMerge/>
            <w:vAlign w:val="center"/>
          </w:tcPr>
          <w:p w:rsidR="004315C7" w:rsidRPr="004C064C" w:rsidRDefault="004315C7">
            <w:pPr>
              <w:rPr>
                <w:rFonts w:ascii="Times New Roman" w:eastAsia="仿宋_GB2312" w:hAnsi="Times New Roman" w:cs="Times New Roman"/>
                <w:sz w:val="24"/>
                <w:szCs w:val="24"/>
              </w:rPr>
            </w:pPr>
          </w:p>
        </w:tc>
        <w:tc>
          <w:tcPr>
            <w:tcW w:w="3827" w:type="dxa"/>
            <w:vAlign w:val="center"/>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需要收回及其他</w:t>
            </w:r>
          </w:p>
        </w:tc>
        <w:tc>
          <w:tcPr>
            <w:tcW w:w="851" w:type="dxa"/>
            <w:vAlign w:val="center"/>
          </w:tcPr>
          <w:p w:rsidR="004315C7" w:rsidRPr="004C064C" w:rsidRDefault="004315C7">
            <w:pPr>
              <w:rPr>
                <w:rFonts w:ascii="Times New Roman" w:eastAsia="仿宋_GB2312" w:hAnsi="Times New Roman" w:cs="Times New Roman"/>
                <w:sz w:val="24"/>
                <w:szCs w:val="24"/>
              </w:rPr>
            </w:pPr>
          </w:p>
        </w:tc>
        <w:tc>
          <w:tcPr>
            <w:tcW w:w="2409" w:type="dxa"/>
          </w:tcPr>
          <w:p w:rsidR="004315C7" w:rsidRPr="004C064C" w:rsidRDefault="001F524C">
            <w:pPr>
              <w:rPr>
                <w:rFonts w:ascii="Times New Roman" w:eastAsia="仿宋_GB2312" w:hAnsi="Times New Roman" w:cs="Times New Roman"/>
                <w:sz w:val="24"/>
                <w:szCs w:val="24"/>
              </w:rPr>
            </w:pPr>
            <w:r w:rsidRPr="001F524C">
              <w:rPr>
                <w:rFonts w:ascii="Times New Roman" w:eastAsia="仿宋_GB2312" w:hAnsi="Times New Roman" w:cs="Times New Roman" w:hint="eastAsia"/>
                <w:sz w:val="24"/>
                <w:szCs w:val="24"/>
              </w:rPr>
              <w:t>如支付的押金、应收为职工垫付的款项等</w:t>
            </w:r>
          </w:p>
        </w:tc>
      </w:tr>
    </w:tbl>
    <w:p w:rsidR="004315C7" w:rsidRPr="004C064C" w:rsidRDefault="004315C7">
      <w:pPr>
        <w:widowControl/>
        <w:jc w:val="left"/>
        <w:rPr>
          <w:rFonts w:ascii="Times New Roman" w:eastAsia="仿宋_GB2312" w:hAnsi="Times New Roman" w:cs="Times New Roman"/>
          <w:sz w:val="32"/>
          <w:szCs w:val="32"/>
        </w:rPr>
      </w:pPr>
    </w:p>
    <w:p w:rsidR="004315C7" w:rsidRPr="004C064C" w:rsidRDefault="001F524C">
      <w:pPr>
        <w:widowControl/>
        <w:jc w:val="left"/>
        <w:rPr>
          <w:rFonts w:ascii="Times New Roman" w:eastAsia="仿宋_GB2312" w:hAnsi="Times New Roman" w:cs="Times New Roman"/>
          <w:sz w:val="32"/>
          <w:szCs w:val="32"/>
        </w:rPr>
      </w:pPr>
      <w:r w:rsidRPr="001F524C">
        <w:rPr>
          <w:rFonts w:ascii="Times New Roman" w:eastAsia="仿宋_GB2312" w:hAnsi="Times New Roman" w:cs="Times New Roman"/>
          <w:sz w:val="32"/>
          <w:szCs w:val="32"/>
        </w:rPr>
        <w:br w:type="page"/>
      </w:r>
    </w:p>
    <w:p w:rsidR="004315C7" w:rsidRPr="004C064C" w:rsidRDefault="001F524C">
      <w:pPr>
        <w:rPr>
          <w:rFonts w:ascii="Times New Roman" w:eastAsia="仿宋_GB2312" w:hAnsi="Times New Roman" w:cs="Times New Roman"/>
          <w:sz w:val="32"/>
          <w:szCs w:val="32"/>
        </w:rPr>
      </w:pPr>
      <w:r w:rsidRPr="001F524C">
        <w:rPr>
          <w:rFonts w:ascii="Times New Roman" w:eastAsia="仿宋_GB2312" w:hAnsi="Times New Roman" w:cs="Times New Roman" w:hint="eastAsia"/>
          <w:sz w:val="32"/>
          <w:szCs w:val="32"/>
        </w:rPr>
        <w:lastRenderedPageBreak/>
        <w:t>附表</w:t>
      </w:r>
      <w:r w:rsidRPr="001F524C">
        <w:rPr>
          <w:rFonts w:ascii="Times New Roman" w:eastAsia="仿宋_GB2312" w:hAnsi="Times New Roman" w:cs="Times New Roman"/>
          <w:sz w:val="32"/>
          <w:szCs w:val="32"/>
        </w:rPr>
        <w:t>3</w:t>
      </w:r>
      <w:r w:rsidRPr="001F524C">
        <w:rPr>
          <w:rFonts w:ascii="Times New Roman" w:eastAsia="仿宋_GB2312" w:hAnsi="Times New Roman" w:cs="Times New Roman" w:hint="eastAsia"/>
          <w:sz w:val="32"/>
          <w:szCs w:val="32"/>
        </w:rPr>
        <w:t>：</w:t>
      </w:r>
    </w:p>
    <w:p w:rsidR="004315C7" w:rsidRPr="004C064C" w:rsidRDefault="001F524C">
      <w:pPr>
        <w:jc w:val="center"/>
        <w:rPr>
          <w:rFonts w:ascii="Times New Roman" w:eastAsia="仿宋_GB2312" w:hAnsi="Times New Roman" w:cs="Times New Roman"/>
          <w:b/>
          <w:bCs/>
          <w:sz w:val="32"/>
          <w:szCs w:val="32"/>
        </w:rPr>
      </w:pPr>
      <w:r w:rsidRPr="001F524C">
        <w:rPr>
          <w:rFonts w:ascii="Times New Roman" w:eastAsia="仿宋_GB2312" w:hAnsi="Times New Roman" w:cs="Times New Roman" w:hint="eastAsia"/>
          <w:b/>
          <w:bCs/>
          <w:sz w:val="32"/>
          <w:szCs w:val="32"/>
        </w:rPr>
        <w:t>行政单位新旧会计制度转账、登记新账科目对照表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056"/>
        <w:gridCol w:w="2752"/>
        <w:gridCol w:w="1056"/>
        <w:gridCol w:w="3008"/>
      </w:tblGrid>
      <w:tr w:rsidR="004315C7" w:rsidRPr="004C064C" w:rsidTr="009508E5">
        <w:tc>
          <w:tcPr>
            <w:tcW w:w="741" w:type="dxa"/>
            <w:vMerge w:val="restart"/>
            <w:tcBorders>
              <w:top w:val="single" w:sz="4" w:space="0" w:color="auto"/>
              <w:left w:val="single" w:sz="4" w:space="0" w:color="auto"/>
              <w:bottom w:val="single" w:sz="4" w:space="0" w:color="auto"/>
              <w:right w:val="single" w:sz="4" w:space="0" w:color="auto"/>
            </w:tcBorders>
            <w:vAlign w:val="center"/>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序号</w:t>
            </w:r>
          </w:p>
        </w:tc>
        <w:tc>
          <w:tcPr>
            <w:tcW w:w="3808" w:type="dxa"/>
            <w:gridSpan w:val="2"/>
            <w:tcBorders>
              <w:top w:val="single" w:sz="4" w:space="0" w:color="auto"/>
              <w:left w:val="single" w:sz="4" w:space="0" w:color="auto"/>
              <w:bottom w:val="single" w:sz="4" w:space="0" w:color="auto"/>
              <w:right w:val="single" w:sz="4" w:space="0" w:color="auto"/>
            </w:tcBorders>
            <w:vAlign w:val="center"/>
          </w:tcPr>
          <w:p w:rsidR="004315C7" w:rsidRPr="004C064C" w:rsidRDefault="004F59C9" w:rsidP="00EA593B">
            <w:pPr>
              <w:ind w:leftChars="-801" w:left="-1682" w:firstLineChars="801" w:firstLine="2243"/>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新</w:t>
            </w:r>
            <w:r w:rsidR="001F524C" w:rsidRPr="001F524C">
              <w:rPr>
                <w:rFonts w:ascii="Times New Roman" w:eastAsia="仿宋_GB2312" w:hAnsi="Times New Roman" w:cs="Times New Roman" w:hint="eastAsia"/>
                <w:sz w:val="28"/>
                <w:szCs w:val="28"/>
              </w:rPr>
              <w:t>制度科目</w:t>
            </w:r>
          </w:p>
        </w:tc>
        <w:tc>
          <w:tcPr>
            <w:tcW w:w="4064" w:type="dxa"/>
            <w:gridSpan w:val="2"/>
            <w:tcBorders>
              <w:top w:val="single" w:sz="4" w:space="0" w:color="auto"/>
              <w:left w:val="single" w:sz="4" w:space="0" w:color="auto"/>
              <w:bottom w:val="single" w:sz="4" w:space="0" w:color="auto"/>
              <w:right w:val="single" w:sz="4" w:space="0" w:color="auto"/>
            </w:tcBorders>
            <w:vAlign w:val="center"/>
          </w:tcPr>
          <w:p w:rsidR="004315C7" w:rsidRPr="004C064C" w:rsidRDefault="004F59C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原</w:t>
            </w:r>
            <w:r w:rsidR="001F524C" w:rsidRPr="001F524C">
              <w:rPr>
                <w:rFonts w:ascii="Times New Roman" w:eastAsia="仿宋_GB2312" w:hAnsi="Times New Roman" w:cs="Times New Roman" w:hint="eastAsia"/>
                <w:sz w:val="28"/>
                <w:szCs w:val="28"/>
              </w:rPr>
              <w:t>制度科目</w:t>
            </w:r>
          </w:p>
        </w:tc>
      </w:tr>
      <w:tr w:rsidR="004315C7" w:rsidRPr="004C064C" w:rsidTr="009508E5">
        <w:tc>
          <w:tcPr>
            <w:tcW w:w="741" w:type="dxa"/>
            <w:vMerge/>
            <w:tcBorders>
              <w:top w:val="single" w:sz="4" w:space="0" w:color="auto"/>
              <w:left w:val="single" w:sz="4" w:space="0" w:color="auto"/>
              <w:bottom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编号</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名</w:t>
            </w:r>
            <w:r w:rsidRPr="001F524C">
              <w:rPr>
                <w:rFonts w:ascii="Times New Roman" w:eastAsia="仿宋_GB2312" w:hAnsi="Times New Roman" w:cs="Times New Roman"/>
                <w:sz w:val="28"/>
                <w:szCs w:val="28"/>
              </w:rPr>
              <w:t xml:space="preserve">  </w:t>
            </w:r>
            <w:r w:rsidRPr="001F524C">
              <w:rPr>
                <w:rFonts w:ascii="Times New Roman" w:eastAsia="仿宋_GB2312" w:hAnsi="Times New Roman" w:cs="Times New Roman" w:hint="eastAsia"/>
                <w:sz w:val="28"/>
                <w:szCs w:val="28"/>
              </w:rPr>
              <w:t>称</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编号</w:t>
            </w:r>
          </w:p>
        </w:tc>
        <w:tc>
          <w:tcPr>
            <w:tcW w:w="3008" w:type="dxa"/>
            <w:tcBorders>
              <w:top w:val="single" w:sz="4" w:space="0" w:color="auto"/>
              <w:left w:val="single" w:sz="4" w:space="0" w:color="auto"/>
              <w:bottom w:val="single" w:sz="4" w:space="0" w:color="auto"/>
              <w:right w:val="single" w:sz="4" w:space="0" w:color="auto"/>
            </w:tcBorders>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名</w:t>
            </w:r>
            <w:r w:rsidRPr="001F524C">
              <w:rPr>
                <w:rFonts w:ascii="Times New Roman" w:eastAsia="仿宋_GB2312" w:hAnsi="Times New Roman" w:cs="Times New Roman"/>
                <w:sz w:val="28"/>
                <w:szCs w:val="28"/>
              </w:rPr>
              <w:t xml:space="preserve">  </w:t>
            </w:r>
            <w:r w:rsidRPr="001F524C">
              <w:rPr>
                <w:rFonts w:ascii="Times New Roman" w:eastAsia="仿宋_GB2312" w:hAnsi="Times New Roman" w:cs="Times New Roman" w:hint="eastAsia"/>
                <w:sz w:val="28"/>
                <w:szCs w:val="28"/>
              </w:rPr>
              <w:t>称</w:t>
            </w:r>
          </w:p>
        </w:tc>
      </w:tr>
      <w:tr w:rsidR="004315C7" w:rsidRPr="004C064C" w:rsidTr="009508E5">
        <w:tc>
          <w:tcPr>
            <w:tcW w:w="8613" w:type="dxa"/>
            <w:gridSpan w:val="5"/>
            <w:tcBorders>
              <w:top w:val="single" w:sz="4" w:space="0" w:color="auto"/>
              <w:left w:val="single" w:sz="4" w:space="0" w:color="auto"/>
              <w:bottom w:val="single" w:sz="4" w:space="0" w:color="auto"/>
              <w:right w:val="single" w:sz="4" w:space="0" w:color="auto"/>
            </w:tcBorders>
            <w:vAlign w:val="center"/>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一、资产类</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１</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库存现金</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1001</w:t>
            </w:r>
          </w:p>
        </w:tc>
        <w:tc>
          <w:tcPr>
            <w:tcW w:w="3008"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库存现金</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２</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1002</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银行存款</w:t>
            </w:r>
          </w:p>
        </w:tc>
        <w:tc>
          <w:tcPr>
            <w:tcW w:w="1056"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1002</w:t>
            </w:r>
          </w:p>
        </w:tc>
        <w:tc>
          <w:tcPr>
            <w:tcW w:w="3008"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银行存款</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３</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1021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其他货币资金</w:t>
            </w:r>
          </w:p>
        </w:tc>
        <w:tc>
          <w:tcPr>
            <w:tcW w:w="1056" w:type="dxa"/>
            <w:vMerge/>
            <w:tcBorders>
              <w:left w:val="single" w:sz="4" w:space="0" w:color="auto"/>
              <w:bottom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r>
      <w:tr w:rsidR="00AE75BE"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AE75BE" w:rsidRPr="001F524C" w:rsidRDefault="00AE75BE">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2752" w:type="dxa"/>
            <w:tcBorders>
              <w:top w:val="single" w:sz="4" w:space="0" w:color="auto"/>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c>
          <w:tcPr>
            <w:tcW w:w="1056" w:type="dxa"/>
            <w:tcBorders>
              <w:top w:val="single" w:sz="4" w:space="0" w:color="auto"/>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1011</w:t>
            </w:r>
          </w:p>
        </w:tc>
        <w:tc>
          <w:tcPr>
            <w:tcW w:w="3008" w:type="dxa"/>
            <w:tcBorders>
              <w:top w:val="single" w:sz="4" w:space="0" w:color="auto"/>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零余额账户用款额度</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1201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财政应返还额度</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1021</w:t>
            </w:r>
          </w:p>
        </w:tc>
        <w:tc>
          <w:tcPr>
            <w:tcW w:w="3008"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财政应返还额度</w:t>
            </w:r>
          </w:p>
        </w:tc>
      </w:tr>
      <w:tr w:rsidR="004F59C9" w:rsidRPr="004C064C" w:rsidTr="009508E5">
        <w:trPr>
          <w:trHeight w:val="538"/>
        </w:trPr>
        <w:tc>
          <w:tcPr>
            <w:tcW w:w="741" w:type="dxa"/>
            <w:tcBorders>
              <w:top w:val="single" w:sz="4" w:space="0" w:color="auto"/>
              <w:left w:val="single" w:sz="4" w:space="0" w:color="auto"/>
              <w:right w:val="single" w:sz="4" w:space="0" w:color="auto"/>
            </w:tcBorders>
            <w:vAlign w:val="center"/>
          </w:tcPr>
          <w:p w:rsidR="004F59C9" w:rsidRPr="004C064C" w:rsidRDefault="009E557A" w:rsidP="004F59C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6</w:t>
            </w:r>
          </w:p>
        </w:tc>
        <w:tc>
          <w:tcPr>
            <w:tcW w:w="1056" w:type="dxa"/>
            <w:tcBorders>
              <w:top w:val="single" w:sz="4" w:space="0" w:color="auto"/>
              <w:left w:val="single" w:sz="4" w:space="0" w:color="auto"/>
              <w:right w:val="single" w:sz="4" w:space="0" w:color="auto"/>
            </w:tcBorders>
          </w:tcPr>
          <w:p w:rsidR="004F59C9" w:rsidRPr="004C064C" w:rsidRDefault="004F59C9" w:rsidP="004F59C9">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1212</w:t>
            </w:r>
          </w:p>
        </w:tc>
        <w:tc>
          <w:tcPr>
            <w:tcW w:w="2752" w:type="dxa"/>
            <w:tcBorders>
              <w:top w:val="single" w:sz="4" w:space="0" w:color="auto"/>
              <w:left w:val="single" w:sz="4" w:space="0" w:color="auto"/>
              <w:right w:val="single" w:sz="4" w:space="0" w:color="auto"/>
            </w:tcBorders>
          </w:tcPr>
          <w:p w:rsidR="004F59C9" w:rsidRPr="004C064C" w:rsidRDefault="004F59C9" w:rsidP="004F59C9">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应收账款</w:t>
            </w:r>
          </w:p>
        </w:tc>
        <w:tc>
          <w:tcPr>
            <w:tcW w:w="1056" w:type="dxa"/>
            <w:tcBorders>
              <w:top w:val="single" w:sz="4" w:space="0" w:color="auto"/>
              <w:left w:val="single" w:sz="4" w:space="0" w:color="auto"/>
              <w:bottom w:val="single" w:sz="4" w:space="0" w:color="auto"/>
              <w:right w:val="single" w:sz="4" w:space="0" w:color="auto"/>
            </w:tcBorders>
            <w:vAlign w:val="center"/>
          </w:tcPr>
          <w:p w:rsidR="004F59C9" w:rsidRPr="004C064C" w:rsidRDefault="004F59C9">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1212</w:t>
            </w:r>
          </w:p>
        </w:tc>
        <w:tc>
          <w:tcPr>
            <w:tcW w:w="3008" w:type="dxa"/>
            <w:tcBorders>
              <w:top w:val="single" w:sz="4" w:space="0" w:color="auto"/>
              <w:left w:val="single" w:sz="4" w:space="0" w:color="auto"/>
              <w:bottom w:val="single" w:sz="4" w:space="0" w:color="auto"/>
              <w:right w:val="single" w:sz="4" w:space="0" w:color="auto"/>
            </w:tcBorders>
            <w:vAlign w:val="center"/>
          </w:tcPr>
          <w:p w:rsidR="004F59C9" w:rsidRPr="004C064C" w:rsidRDefault="004F59C9">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应收账款</w:t>
            </w:r>
          </w:p>
        </w:tc>
      </w:tr>
      <w:tr w:rsidR="00AE75BE" w:rsidRPr="004C064C" w:rsidTr="009508E5">
        <w:trPr>
          <w:trHeight w:val="585"/>
        </w:trPr>
        <w:tc>
          <w:tcPr>
            <w:tcW w:w="741" w:type="dxa"/>
            <w:vMerge w:val="restart"/>
            <w:tcBorders>
              <w:top w:val="single" w:sz="4" w:space="0" w:color="auto"/>
              <w:left w:val="single" w:sz="4" w:space="0" w:color="auto"/>
              <w:right w:val="single" w:sz="4" w:space="0" w:color="auto"/>
            </w:tcBorders>
            <w:vAlign w:val="center"/>
          </w:tcPr>
          <w:p w:rsidR="00AE75BE" w:rsidRPr="004C064C" w:rsidRDefault="009E557A" w:rsidP="009508E5">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p>
        </w:tc>
        <w:tc>
          <w:tcPr>
            <w:tcW w:w="1056" w:type="dxa"/>
            <w:vMerge w:val="restart"/>
            <w:tcBorders>
              <w:top w:val="single" w:sz="4" w:space="0" w:color="auto"/>
              <w:left w:val="single" w:sz="4" w:space="0" w:color="auto"/>
              <w:right w:val="single" w:sz="4" w:space="0" w:color="auto"/>
            </w:tcBorders>
            <w:vAlign w:val="center"/>
          </w:tcPr>
          <w:p w:rsidR="00AE75BE" w:rsidRPr="004C064C" w:rsidRDefault="00AE75BE" w:rsidP="009508E5">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1214</w:t>
            </w:r>
          </w:p>
        </w:tc>
        <w:tc>
          <w:tcPr>
            <w:tcW w:w="2752" w:type="dxa"/>
            <w:vMerge w:val="restart"/>
            <w:tcBorders>
              <w:top w:val="single" w:sz="4" w:space="0" w:color="auto"/>
              <w:left w:val="single" w:sz="4" w:space="0" w:color="auto"/>
              <w:right w:val="single" w:sz="4" w:space="0" w:color="auto"/>
            </w:tcBorders>
            <w:vAlign w:val="center"/>
          </w:tcPr>
          <w:p w:rsidR="00AE75BE" w:rsidRPr="004C064C" w:rsidRDefault="00AE75BE" w:rsidP="009508E5">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预付账款</w:t>
            </w:r>
          </w:p>
        </w:tc>
        <w:tc>
          <w:tcPr>
            <w:tcW w:w="1056" w:type="dxa"/>
            <w:tcBorders>
              <w:top w:val="single" w:sz="4" w:space="0" w:color="auto"/>
              <w:left w:val="single" w:sz="4" w:space="0" w:color="auto"/>
              <w:bottom w:val="single" w:sz="4" w:space="0" w:color="auto"/>
              <w:right w:val="single" w:sz="4" w:space="0" w:color="auto"/>
            </w:tcBorders>
          </w:tcPr>
          <w:p w:rsidR="00AE75BE" w:rsidRPr="004C064C" w:rsidRDefault="00AE75BE">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1213</w:t>
            </w:r>
          </w:p>
        </w:tc>
        <w:tc>
          <w:tcPr>
            <w:tcW w:w="3008" w:type="dxa"/>
            <w:tcBorders>
              <w:top w:val="single" w:sz="4" w:space="0" w:color="auto"/>
              <w:left w:val="single" w:sz="4" w:space="0" w:color="auto"/>
              <w:bottom w:val="single" w:sz="4" w:space="0" w:color="auto"/>
              <w:right w:val="single" w:sz="4" w:space="0" w:color="auto"/>
            </w:tcBorders>
          </w:tcPr>
          <w:p w:rsidR="00AE75BE" w:rsidRPr="004C064C" w:rsidRDefault="00AE75BE" w:rsidP="00AE75BE">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预付账款</w:t>
            </w:r>
          </w:p>
        </w:tc>
      </w:tr>
      <w:tr w:rsidR="00AE75BE" w:rsidRPr="004C064C" w:rsidTr="009508E5">
        <w:trPr>
          <w:trHeight w:val="645"/>
        </w:trPr>
        <w:tc>
          <w:tcPr>
            <w:tcW w:w="741" w:type="dxa"/>
            <w:vMerge/>
            <w:tcBorders>
              <w:left w:val="single" w:sz="4" w:space="0" w:color="auto"/>
              <w:bottom w:val="single" w:sz="4" w:space="0" w:color="auto"/>
              <w:right w:val="single" w:sz="4" w:space="0" w:color="auto"/>
            </w:tcBorders>
            <w:vAlign w:val="center"/>
          </w:tcPr>
          <w:p w:rsidR="00AE75BE" w:rsidRPr="001F524C" w:rsidDel="004F59C9" w:rsidRDefault="00AE75BE">
            <w:pPr>
              <w:jc w:val="center"/>
              <w:rPr>
                <w:rFonts w:ascii="Times New Roman" w:eastAsia="仿宋_GB2312" w:hAnsi="Times New Roman" w:cs="Times New Roman"/>
                <w:sz w:val="28"/>
                <w:szCs w:val="28"/>
              </w:rPr>
            </w:pPr>
          </w:p>
        </w:tc>
        <w:tc>
          <w:tcPr>
            <w:tcW w:w="1056" w:type="dxa"/>
            <w:vMerge/>
            <w:tcBorders>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p>
        </w:tc>
        <w:tc>
          <w:tcPr>
            <w:tcW w:w="2752" w:type="dxa"/>
            <w:vMerge/>
            <w:tcBorders>
              <w:left w:val="single" w:sz="4" w:space="0" w:color="auto"/>
              <w:bottom w:val="single" w:sz="4" w:space="0" w:color="auto"/>
              <w:right w:val="single" w:sz="4" w:space="0" w:color="auto"/>
            </w:tcBorders>
          </w:tcPr>
          <w:p w:rsidR="00AE75BE" w:rsidRPr="001F524C" w:rsidRDefault="00AE75BE">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AE75BE" w:rsidRPr="001F524C" w:rsidRDefault="00AE75BE" w:rsidP="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1511</w:t>
            </w:r>
          </w:p>
        </w:tc>
        <w:tc>
          <w:tcPr>
            <w:tcW w:w="3008" w:type="dxa"/>
            <w:tcBorders>
              <w:top w:val="single" w:sz="4" w:space="0" w:color="auto"/>
              <w:left w:val="single" w:sz="4" w:space="0" w:color="auto"/>
              <w:bottom w:val="single" w:sz="4" w:space="0" w:color="auto"/>
              <w:right w:val="single" w:sz="4" w:space="0" w:color="auto"/>
            </w:tcBorders>
          </w:tcPr>
          <w:p w:rsidR="00AE75BE" w:rsidRPr="001F524C" w:rsidRDefault="00AE75BE" w:rsidP="00AE75BE">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在建工程</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8</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1218</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其他应收款</w:t>
            </w:r>
          </w:p>
        </w:tc>
        <w:tc>
          <w:tcPr>
            <w:tcW w:w="1056"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1215</w:t>
            </w:r>
          </w:p>
        </w:tc>
        <w:tc>
          <w:tcPr>
            <w:tcW w:w="3008"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其他应收款</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9</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在途物品</w:t>
            </w:r>
          </w:p>
        </w:tc>
        <w:tc>
          <w:tcPr>
            <w:tcW w:w="1056" w:type="dxa"/>
            <w:vMerge/>
            <w:tcBorders>
              <w:left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10</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1302</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库存物品</w:t>
            </w:r>
          </w:p>
        </w:tc>
        <w:tc>
          <w:tcPr>
            <w:tcW w:w="1056" w:type="dxa"/>
            <w:vMerge w:val="restart"/>
            <w:tcBorders>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1301</w:t>
            </w:r>
          </w:p>
        </w:tc>
        <w:tc>
          <w:tcPr>
            <w:tcW w:w="3008" w:type="dxa"/>
            <w:vMerge w:val="restart"/>
            <w:tcBorders>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存货</w:t>
            </w: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11</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1303</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加工物品</w:t>
            </w:r>
          </w:p>
        </w:tc>
        <w:tc>
          <w:tcPr>
            <w:tcW w:w="1056" w:type="dxa"/>
            <w:vMerge/>
            <w:tcBorders>
              <w:left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r>
      <w:tr w:rsidR="004315C7"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12</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vMerge/>
            <w:tcBorders>
              <w:left w:val="single" w:sz="4" w:space="0" w:color="auto"/>
              <w:bottom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4315C7" w:rsidRPr="004C064C" w:rsidRDefault="004315C7">
            <w:pPr>
              <w:rPr>
                <w:rFonts w:ascii="Times New Roman" w:eastAsia="仿宋_GB2312" w:hAnsi="Times New Roman" w:cs="Times New Roman"/>
                <w:sz w:val="28"/>
                <w:szCs w:val="28"/>
              </w:rPr>
            </w:pPr>
          </w:p>
        </w:tc>
      </w:tr>
      <w:tr w:rsidR="004315C7" w:rsidRPr="004C064C" w:rsidTr="009508E5">
        <w:trPr>
          <w:trHeight w:val="503"/>
        </w:trPr>
        <w:tc>
          <w:tcPr>
            <w:tcW w:w="741" w:type="dxa"/>
            <w:vMerge w:val="restart"/>
            <w:tcBorders>
              <w:top w:val="single" w:sz="4" w:space="0" w:color="auto"/>
              <w:left w:val="single" w:sz="4" w:space="0" w:color="auto"/>
              <w:right w:val="single" w:sz="4" w:space="0" w:color="auto"/>
            </w:tcBorders>
            <w:vAlign w:val="center"/>
          </w:tcPr>
          <w:p w:rsidR="004315C7" w:rsidRPr="004C064C" w:rsidRDefault="009E557A" w:rsidP="00D072E6">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w:t>
            </w:r>
          </w:p>
        </w:tc>
        <w:tc>
          <w:tcPr>
            <w:tcW w:w="1056"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1501</w:t>
            </w:r>
          </w:p>
        </w:tc>
        <w:tc>
          <w:tcPr>
            <w:tcW w:w="3008" w:type="dxa"/>
            <w:vMerge w:val="restart"/>
            <w:tcBorders>
              <w:top w:val="single" w:sz="4" w:space="0" w:color="auto"/>
              <w:left w:val="single" w:sz="4" w:space="0" w:color="auto"/>
              <w:right w:val="single" w:sz="4" w:space="0" w:color="auto"/>
            </w:tcBorders>
            <w:vAlign w:val="center"/>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w:t>
            </w:r>
          </w:p>
        </w:tc>
      </w:tr>
      <w:tr w:rsidR="004315C7" w:rsidRPr="004C064C" w:rsidTr="009508E5">
        <w:trPr>
          <w:trHeight w:val="114"/>
        </w:trPr>
        <w:tc>
          <w:tcPr>
            <w:tcW w:w="741" w:type="dxa"/>
            <w:vMerge/>
            <w:tcBorders>
              <w:left w:val="single" w:sz="4" w:space="0" w:color="auto"/>
              <w:right w:val="single" w:sz="4" w:space="0" w:color="auto"/>
            </w:tcBorders>
            <w:vAlign w:val="center"/>
          </w:tcPr>
          <w:p w:rsidR="004315C7" w:rsidRPr="004C064C" w:rsidRDefault="004315C7">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c>
          <w:tcPr>
            <w:tcW w:w="1056"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r>
      <w:tr w:rsidR="004315C7" w:rsidRPr="004C064C" w:rsidTr="009508E5">
        <w:trPr>
          <w:trHeight w:val="300"/>
        </w:trPr>
        <w:tc>
          <w:tcPr>
            <w:tcW w:w="741" w:type="dxa"/>
            <w:vMerge/>
            <w:tcBorders>
              <w:left w:val="single" w:sz="4" w:space="0" w:color="auto"/>
              <w:right w:val="single" w:sz="4" w:space="0" w:color="auto"/>
            </w:tcBorders>
            <w:vAlign w:val="center"/>
          </w:tcPr>
          <w:p w:rsidR="004315C7" w:rsidRPr="004C064C" w:rsidRDefault="004315C7">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r>
      <w:tr w:rsidR="004315C7" w:rsidRPr="004C064C" w:rsidTr="009508E5">
        <w:trPr>
          <w:trHeight w:val="315"/>
        </w:trPr>
        <w:tc>
          <w:tcPr>
            <w:tcW w:w="741" w:type="dxa"/>
            <w:tcBorders>
              <w:left w:val="single" w:sz="4" w:space="0" w:color="auto"/>
              <w:right w:val="single" w:sz="4" w:space="0" w:color="auto"/>
            </w:tcBorders>
            <w:vAlign w:val="center"/>
          </w:tcPr>
          <w:p w:rsidR="004315C7" w:rsidRPr="004C064C" w:rsidRDefault="009E557A" w:rsidP="00D072E6">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14</w:t>
            </w:r>
          </w:p>
        </w:tc>
        <w:tc>
          <w:tcPr>
            <w:tcW w:w="1056"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1821</w:t>
            </w:r>
          </w:p>
        </w:tc>
        <w:tc>
          <w:tcPr>
            <w:tcW w:w="2752" w:type="dxa"/>
            <w:tcBorders>
              <w:top w:val="single" w:sz="4" w:space="0" w:color="auto"/>
              <w:left w:val="single" w:sz="4" w:space="0" w:color="auto"/>
              <w:bottom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文物文化资产</w:t>
            </w:r>
          </w:p>
        </w:tc>
        <w:tc>
          <w:tcPr>
            <w:tcW w:w="1056"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r>
      <w:tr w:rsidR="004315C7" w:rsidRPr="004C064C" w:rsidTr="009508E5">
        <w:trPr>
          <w:trHeight w:val="572"/>
        </w:trPr>
        <w:tc>
          <w:tcPr>
            <w:tcW w:w="741" w:type="dxa"/>
            <w:tcBorders>
              <w:left w:val="single" w:sz="4" w:space="0" w:color="auto"/>
              <w:bottom w:val="single" w:sz="4" w:space="0" w:color="auto"/>
              <w:right w:val="single" w:sz="4" w:space="0" w:color="auto"/>
            </w:tcBorders>
            <w:vAlign w:val="center"/>
          </w:tcPr>
          <w:p w:rsidR="004315C7"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15</w:t>
            </w:r>
          </w:p>
        </w:tc>
        <w:tc>
          <w:tcPr>
            <w:tcW w:w="1056" w:type="dxa"/>
            <w:tcBorders>
              <w:top w:val="single" w:sz="4" w:space="0" w:color="auto"/>
              <w:left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1831</w:t>
            </w:r>
          </w:p>
        </w:tc>
        <w:tc>
          <w:tcPr>
            <w:tcW w:w="2752" w:type="dxa"/>
            <w:tcBorders>
              <w:top w:val="single" w:sz="4" w:space="0" w:color="auto"/>
              <w:left w:val="single" w:sz="4" w:space="0" w:color="auto"/>
              <w:right w:val="single" w:sz="4" w:space="0" w:color="auto"/>
            </w:tcBorders>
          </w:tcPr>
          <w:p w:rsidR="004315C7"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保障性住房</w:t>
            </w:r>
          </w:p>
        </w:tc>
        <w:tc>
          <w:tcPr>
            <w:tcW w:w="1056" w:type="dxa"/>
            <w:vMerge/>
            <w:tcBorders>
              <w:left w:val="single" w:sz="4" w:space="0" w:color="auto"/>
              <w:bottom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4315C7" w:rsidRPr="004C064C" w:rsidRDefault="004315C7">
            <w:pPr>
              <w:rPr>
                <w:rFonts w:ascii="Times New Roman" w:eastAsia="仿宋_GB2312" w:hAnsi="Times New Roman" w:cs="Times New Roman"/>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4F59C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16</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1602</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固定资产累计折旧</w:t>
            </w:r>
          </w:p>
        </w:tc>
        <w:tc>
          <w:tcPr>
            <w:tcW w:w="1056"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kern w:val="0"/>
                <w:sz w:val="28"/>
                <w:szCs w:val="28"/>
              </w:rPr>
            </w:pPr>
            <w:r w:rsidRPr="001F524C">
              <w:rPr>
                <w:rFonts w:ascii="Times New Roman" w:eastAsia="仿宋_GB2312" w:hAnsi="Times New Roman" w:cs="Times New Roman"/>
                <w:kern w:val="0"/>
                <w:sz w:val="28"/>
                <w:szCs w:val="28"/>
              </w:rPr>
              <w:t>1502</w:t>
            </w:r>
          </w:p>
        </w:tc>
        <w:tc>
          <w:tcPr>
            <w:tcW w:w="3008"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kern w:val="0"/>
                <w:sz w:val="28"/>
                <w:szCs w:val="28"/>
              </w:rPr>
            </w:pPr>
            <w:r w:rsidRPr="001F524C">
              <w:rPr>
                <w:rFonts w:ascii="Times New Roman" w:eastAsia="仿宋_GB2312" w:hAnsi="Times New Roman" w:cs="Times New Roman" w:hint="eastAsia"/>
                <w:kern w:val="0"/>
                <w:sz w:val="28"/>
                <w:szCs w:val="28"/>
              </w:rPr>
              <w:t>累计折旧</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17</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1802</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公共基础设施累计折旧（摊销）</w:t>
            </w:r>
          </w:p>
        </w:tc>
        <w:tc>
          <w:tcPr>
            <w:tcW w:w="1056"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kern w:val="0"/>
                <w:sz w:val="28"/>
                <w:szCs w:val="28"/>
              </w:rPr>
            </w:pPr>
          </w:p>
        </w:tc>
        <w:tc>
          <w:tcPr>
            <w:tcW w:w="3008"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kern w:val="0"/>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18</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1832</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保障性住房累计折旧</w:t>
            </w:r>
          </w:p>
        </w:tc>
        <w:tc>
          <w:tcPr>
            <w:tcW w:w="1056"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kern w:val="0"/>
                <w:sz w:val="28"/>
                <w:szCs w:val="28"/>
              </w:rPr>
            </w:pPr>
          </w:p>
        </w:tc>
        <w:tc>
          <w:tcPr>
            <w:tcW w:w="3008"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kern w:val="0"/>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19</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1611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工程物资</w:t>
            </w:r>
          </w:p>
        </w:tc>
        <w:tc>
          <w:tcPr>
            <w:tcW w:w="1056"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kern w:val="0"/>
                <w:sz w:val="28"/>
                <w:szCs w:val="28"/>
              </w:rPr>
              <w:t xml:space="preserve">1511 </w:t>
            </w:r>
          </w:p>
        </w:tc>
        <w:tc>
          <w:tcPr>
            <w:tcW w:w="3008"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kern w:val="0"/>
                <w:sz w:val="28"/>
                <w:szCs w:val="28"/>
              </w:rPr>
              <w:t>在建工程</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1613</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在建工程</w:t>
            </w:r>
          </w:p>
        </w:tc>
        <w:tc>
          <w:tcPr>
            <w:tcW w:w="1056"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sz w:val="28"/>
                <w:szCs w:val="28"/>
              </w:rPr>
            </w:pPr>
          </w:p>
        </w:tc>
        <w:tc>
          <w:tcPr>
            <w:tcW w:w="3008" w:type="dxa"/>
            <w:vMerge/>
            <w:tcBorders>
              <w:left w:val="single" w:sz="4" w:space="0" w:color="auto"/>
              <w:right w:val="single" w:sz="4" w:space="0" w:color="auto"/>
            </w:tcBorders>
            <w:vAlign w:val="center"/>
          </w:tcPr>
          <w:p w:rsidR="00013EAF" w:rsidRPr="004C064C" w:rsidRDefault="00013EAF">
            <w:pPr>
              <w:rPr>
                <w:rFonts w:ascii="Times New Roman" w:eastAsia="仿宋_GB2312" w:hAnsi="Times New Roman" w:cs="Times New Roman"/>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21</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w:t>
            </w:r>
          </w:p>
        </w:tc>
        <w:tc>
          <w:tcPr>
            <w:tcW w:w="1056" w:type="dxa"/>
            <w:tcBorders>
              <w:top w:val="single" w:sz="4" w:space="0" w:color="auto"/>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1601</w:t>
            </w:r>
          </w:p>
        </w:tc>
        <w:tc>
          <w:tcPr>
            <w:tcW w:w="3008" w:type="dxa"/>
            <w:tcBorders>
              <w:top w:val="single" w:sz="4" w:space="0" w:color="auto"/>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w:t>
            </w:r>
          </w:p>
        </w:tc>
      </w:tr>
      <w:tr w:rsidR="00DA6B45"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DA6B45" w:rsidRPr="004C064C" w:rsidDel="00D072E6"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22</w:t>
            </w: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1702</w:t>
            </w:r>
          </w:p>
        </w:tc>
        <w:tc>
          <w:tcPr>
            <w:tcW w:w="2752" w:type="dxa"/>
            <w:tcBorders>
              <w:top w:val="single" w:sz="4" w:space="0" w:color="auto"/>
              <w:left w:val="single" w:sz="4" w:space="0" w:color="auto"/>
              <w:bottom w:val="single" w:sz="4" w:space="0" w:color="auto"/>
              <w:right w:val="single" w:sz="4" w:space="0" w:color="auto"/>
            </w:tcBorders>
          </w:tcPr>
          <w:p w:rsidR="00DA6B45"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无形资产累计摊销</w:t>
            </w: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1602</w:t>
            </w:r>
          </w:p>
        </w:tc>
        <w:tc>
          <w:tcPr>
            <w:tcW w:w="3008" w:type="dxa"/>
            <w:tcBorders>
              <w:top w:val="single" w:sz="4" w:space="0" w:color="auto"/>
              <w:left w:val="single" w:sz="4" w:space="0" w:color="auto"/>
              <w:bottom w:val="single" w:sz="4" w:space="0" w:color="auto"/>
              <w:right w:val="single" w:sz="4" w:space="0" w:color="auto"/>
            </w:tcBorders>
          </w:tcPr>
          <w:p w:rsidR="00DA6B45"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累计摊销</w:t>
            </w:r>
          </w:p>
        </w:tc>
      </w:tr>
      <w:tr w:rsidR="00D072E6"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D072E6"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23</w:t>
            </w:r>
          </w:p>
        </w:tc>
        <w:tc>
          <w:tcPr>
            <w:tcW w:w="1056"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2752"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c>
          <w:tcPr>
            <w:tcW w:w="1056"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1802</w:t>
            </w:r>
          </w:p>
        </w:tc>
        <w:tc>
          <w:tcPr>
            <w:tcW w:w="3008"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公共基础设施</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24</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1811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1801</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政府储备物资</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25</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rsidP="00D072E6">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1891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受托代理资产</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1901</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受托代理资产</w:t>
            </w:r>
          </w:p>
        </w:tc>
      </w:tr>
      <w:tr w:rsidR="00D072E6"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D072E6"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26</w:t>
            </w:r>
          </w:p>
        </w:tc>
        <w:tc>
          <w:tcPr>
            <w:tcW w:w="1056"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1902</w:t>
            </w:r>
          </w:p>
        </w:tc>
        <w:tc>
          <w:tcPr>
            <w:tcW w:w="2752"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待处理财产损溢</w:t>
            </w:r>
          </w:p>
        </w:tc>
        <w:tc>
          <w:tcPr>
            <w:tcW w:w="1056"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1701</w:t>
            </w:r>
          </w:p>
        </w:tc>
        <w:tc>
          <w:tcPr>
            <w:tcW w:w="3008" w:type="dxa"/>
            <w:tcBorders>
              <w:top w:val="single" w:sz="4" w:space="0" w:color="auto"/>
              <w:left w:val="single" w:sz="4" w:space="0" w:color="auto"/>
              <w:bottom w:val="single" w:sz="4" w:space="0" w:color="auto"/>
              <w:right w:val="single" w:sz="4" w:space="0" w:color="auto"/>
            </w:tcBorders>
          </w:tcPr>
          <w:p w:rsidR="00D072E6"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待处理财产损溢</w:t>
            </w:r>
          </w:p>
        </w:tc>
      </w:tr>
      <w:tr w:rsidR="00013EAF" w:rsidRPr="004C064C" w:rsidTr="009508E5">
        <w:tc>
          <w:tcPr>
            <w:tcW w:w="8613" w:type="dxa"/>
            <w:gridSpan w:val="5"/>
            <w:tcBorders>
              <w:top w:val="single" w:sz="4" w:space="0" w:color="auto"/>
              <w:left w:val="single" w:sz="4" w:space="0" w:color="auto"/>
              <w:bottom w:val="single" w:sz="4" w:space="0" w:color="auto"/>
              <w:right w:val="single" w:sz="4" w:space="0" w:color="auto"/>
            </w:tcBorders>
            <w:vAlign w:val="center"/>
          </w:tcPr>
          <w:p w:rsidR="00013EAF"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二、负债类</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27</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2103</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应缴财政款</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2001</w:t>
            </w:r>
          </w:p>
        </w:tc>
        <w:tc>
          <w:tcPr>
            <w:tcW w:w="3008"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应缴财政款</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28</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应交增值税</w:t>
            </w:r>
          </w:p>
        </w:tc>
        <w:tc>
          <w:tcPr>
            <w:tcW w:w="1056"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2101</w:t>
            </w:r>
          </w:p>
        </w:tc>
        <w:tc>
          <w:tcPr>
            <w:tcW w:w="3008"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应缴税费</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29</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2102</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其他应交税费</w:t>
            </w:r>
          </w:p>
        </w:tc>
        <w:tc>
          <w:tcPr>
            <w:tcW w:w="1056" w:type="dxa"/>
            <w:vMerge/>
            <w:tcBorders>
              <w:left w:val="single" w:sz="4" w:space="0" w:color="auto"/>
              <w:bottom w:val="single" w:sz="4" w:space="0" w:color="auto"/>
              <w:right w:val="single" w:sz="4" w:space="0" w:color="auto"/>
            </w:tcBorders>
            <w:vAlign w:val="center"/>
          </w:tcPr>
          <w:p w:rsidR="00013EAF" w:rsidRPr="004C064C" w:rsidRDefault="00013EAF">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013EAF" w:rsidRPr="004C064C" w:rsidRDefault="00013EAF">
            <w:pPr>
              <w:rPr>
                <w:rFonts w:ascii="Times New Roman" w:eastAsia="仿宋_GB2312" w:hAnsi="Times New Roman" w:cs="Times New Roman"/>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30</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2201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应付职工薪酬</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2201</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应付职工薪酬</w:t>
            </w:r>
          </w:p>
        </w:tc>
      </w:tr>
      <w:tr w:rsidR="00273E48" w:rsidRPr="004C064C" w:rsidTr="009508E5">
        <w:tc>
          <w:tcPr>
            <w:tcW w:w="741" w:type="dxa"/>
            <w:vMerge w:val="restart"/>
            <w:tcBorders>
              <w:top w:val="single" w:sz="4" w:space="0" w:color="auto"/>
              <w:left w:val="single" w:sz="4" w:space="0" w:color="auto"/>
              <w:right w:val="single" w:sz="4" w:space="0" w:color="auto"/>
            </w:tcBorders>
            <w:vAlign w:val="center"/>
          </w:tcPr>
          <w:p w:rsidR="00273E48"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31</w:t>
            </w:r>
          </w:p>
        </w:tc>
        <w:tc>
          <w:tcPr>
            <w:tcW w:w="1056" w:type="dxa"/>
            <w:tcBorders>
              <w:top w:val="single" w:sz="4" w:space="0" w:color="auto"/>
              <w:left w:val="single" w:sz="4" w:space="0" w:color="auto"/>
              <w:bottom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2302</w:t>
            </w:r>
          </w:p>
        </w:tc>
        <w:tc>
          <w:tcPr>
            <w:tcW w:w="2752" w:type="dxa"/>
            <w:tcBorders>
              <w:top w:val="single" w:sz="4" w:space="0" w:color="auto"/>
              <w:left w:val="single" w:sz="4" w:space="0" w:color="auto"/>
              <w:bottom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应付账款</w:t>
            </w:r>
          </w:p>
        </w:tc>
        <w:tc>
          <w:tcPr>
            <w:tcW w:w="1056" w:type="dxa"/>
            <w:vMerge w:val="restart"/>
            <w:tcBorders>
              <w:top w:val="single" w:sz="4" w:space="0" w:color="auto"/>
              <w:left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2301</w:t>
            </w:r>
          </w:p>
        </w:tc>
        <w:tc>
          <w:tcPr>
            <w:tcW w:w="3008" w:type="dxa"/>
            <w:vMerge w:val="restart"/>
            <w:tcBorders>
              <w:top w:val="single" w:sz="4" w:space="0" w:color="auto"/>
              <w:left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应付账款</w:t>
            </w:r>
          </w:p>
        </w:tc>
      </w:tr>
      <w:tr w:rsidR="00273E48" w:rsidRPr="004C064C" w:rsidTr="009508E5">
        <w:tc>
          <w:tcPr>
            <w:tcW w:w="741" w:type="dxa"/>
            <w:vMerge/>
            <w:tcBorders>
              <w:left w:val="single" w:sz="4" w:space="0" w:color="auto"/>
              <w:bottom w:val="single" w:sz="4" w:space="0" w:color="auto"/>
              <w:right w:val="single" w:sz="4" w:space="0" w:color="auto"/>
            </w:tcBorders>
            <w:vAlign w:val="center"/>
          </w:tcPr>
          <w:p w:rsidR="00273E48" w:rsidRPr="004C064C" w:rsidRDefault="00273E48" w:rsidP="00DA6B45">
            <w:pPr>
              <w:jc w:val="cente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2307</w:t>
            </w:r>
          </w:p>
        </w:tc>
        <w:tc>
          <w:tcPr>
            <w:tcW w:w="2752" w:type="dxa"/>
            <w:tcBorders>
              <w:top w:val="single" w:sz="4" w:space="0" w:color="auto"/>
              <w:left w:val="single" w:sz="4" w:space="0" w:color="auto"/>
              <w:bottom w:val="single" w:sz="4" w:space="0" w:color="auto"/>
              <w:right w:val="single" w:sz="4" w:space="0" w:color="auto"/>
            </w:tcBorders>
            <w:vAlign w:val="center"/>
          </w:tcPr>
          <w:p w:rsidR="00273E48"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c>
          <w:tcPr>
            <w:tcW w:w="1056" w:type="dxa"/>
            <w:vMerge/>
            <w:tcBorders>
              <w:left w:val="single" w:sz="4" w:space="0" w:color="auto"/>
              <w:bottom w:val="single" w:sz="4" w:space="0" w:color="auto"/>
              <w:right w:val="single" w:sz="4" w:space="0" w:color="auto"/>
            </w:tcBorders>
            <w:vAlign w:val="center"/>
          </w:tcPr>
          <w:p w:rsidR="00273E48" w:rsidRPr="004C064C" w:rsidRDefault="00273E48">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vAlign w:val="center"/>
          </w:tcPr>
          <w:p w:rsidR="00273E48" w:rsidRPr="004C064C" w:rsidRDefault="00273E48">
            <w:pPr>
              <w:rPr>
                <w:rFonts w:ascii="Times New Roman" w:eastAsia="仿宋_GB2312" w:hAnsi="Times New Roman" w:cs="Times New Roman"/>
                <w:sz w:val="28"/>
                <w:szCs w:val="28"/>
              </w:rPr>
            </w:pP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32</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2303</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应付政府补贴款</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2302</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应付政府补贴款</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33</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2307</w:t>
            </w:r>
          </w:p>
        </w:tc>
        <w:tc>
          <w:tcPr>
            <w:tcW w:w="2752"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2305</w:t>
            </w:r>
          </w:p>
        </w:tc>
        <w:tc>
          <w:tcPr>
            <w:tcW w:w="3008"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其他应付款</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34</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2502</w:t>
            </w:r>
          </w:p>
        </w:tc>
        <w:tc>
          <w:tcPr>
            <w:tcW w:w="2752"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长期应付款</w:t>
            </w:r>
          </w:p>
        </w:tc>
        <w:tc>
          <w:tcPr>
            <w:tcW w:w="1056"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2401</w:t>
            </w:r>
          </w:p>
        </w:tc>
        <w:tc>
          <w:tcPr>
            <w:tcW w:w="3008" w:type="dxa"/>
            <w:tcBorders>
              <w:top w:val="single" w:sz="4" w:space="0" w:color="auto"/>
              <w:left w:val="single" w:sz="4" w:space="0" w:color="auto"/>
              <w:bottom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长期应付款</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35</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2901</w:t>
            </w:r>
          </w:p>
        </w:tc>
        <w:tc>
          <w:tcPr>
            <w:tcW w:w="2752"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受托代理负债</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2901</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受托代理负债</w:t>
            </w:r>
          </w:p>
        </w:tc>
      </w:tr>
      <w:tr w:rsidR="00013EAF" w:rsidRPr="004C064C" w:rsidTr="009508E5">
        <w:tc>
          <w:tcPr>
            <w:tcW w:w="8613" w:type="dxa"/>
            <w:gridSpan w:val="5"/>
            <w:tcBorders>
              <w:top w:val="single" w:sz="4" w:space="0" w:color="auto"/>
              <w:left w:val="single" w:sz="4" w:space="0" w:color="auto"/>
              <w:bottom w:val="single" w:sz="4" w:space="0" w:color="auto"/>
              <w:right w:val="single" w:sz="4" w:space="0" w:color="auto"/>
            </w:tcBorders>
            <w:vAlign w:val="center"/>
          </w:tcPr>
          <w:p w:rsidR="00013EAF"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三、净资产类</w:t>
            </w:r>
          </w:p>
        </w:tc>
      </w:tr>
      <w:tr w:rsidR="00DA6B45" w:rsidRPr="004C064C" w:rsidTr="009508E5">
        <w:tc>
          <w:tcPr>
            <w:tcW w:w="741" w:type="dxa"/>
            <w:vMerge w:val="restart"/>
            <w:tcBorders>
              <w:top w:val="single" w:sz="4" w:space="0" w:color="auto"/>
              <w:left w:val="single" w:sz="4" w:space="0" w:color="auto"/>
              <w:right w:val="single" w:sz="4" w:space="0" w:color="auto"/>
            </w:tcBorders>
            <w:vAlign w:val="center"/>
          </w:tcPr>
          <w:p w:rsidR="00DA6B45"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36</w:t>
            </w:r>
          </w:p>
        </w:tc>
        <w:tc>
          <w:tcPr>
            <w:tcW w:w="1056" w:type="dxa"/>
            <w:vMerge w:val="restart"/>
            <w:tcBorders>
              <w:top w:val="single" w:sz="4" w:space="0" w:color="auto"/>
              <w:left w:val="single" w:sz="4" w:space="0" w:color="auto"/>
              <w:right w:val="single" w:sz="4" w:space="0" w:color="auto"/>
            </w:tcBorders>
            <w:vAlign w:val="center"/>
          </w:tcPr>
          <w:p w:rsidR="00DA6B45" w:rsidRPr="004C064C" w:rsidRDefault="001F524C" w:rsidP="00DA6B45">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2752" w:type="dxa"/>
            <w:vMerge w:val="restart"/>
            <w:tcBorders>
              <w:top w:val="single" w:sz="4" w:space="0" w:color="auto"/>
              <w:left w:val="single" w:sz="4" w:space="0" w:color="auto"/>
              <w:right w:val="single" w:sz="4" w:space="0" w:color="auto"/>
            </w:tcBorders>
            <w:vAlign w:val="center"/>
          </w:tcPr>
          <w:p w:rsidR="00DA6B45" w:rsidRPr="004C064C" w:rsidRDefault="001F524C" w:rsidP="00DA6B45">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累计盈余</w:t>
            </w: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DA6B45" w:rsidRPr="004C064C" w:rsidTr="009508E5">
        <w:tc>
          <w:tcPr>
            <w:tcW w:w="741" w:type="dxa"/>
            <w:vMerge/>
            <w:tcBorders>
              <w:left w:val="single" w:sz="4" w:space="0" w:color="auto"/>
              <w:right w:val="single" w:sz="4" w:space="0" w:color="auto"/>
            </w:tcBorders>
            <w:vAlign w:val="center"/>
          </w:tcPr>
          <w:p w:rsidR="00DA6B45" w:rsidRPr="004C064C" w:rsidRDefault="00DA6B45" w:rsidP="001868CC">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tcPr>
          <w:p w:rsidR="00DA6B45" w:rsidRPr="004C064C" w:rsidRDefault="00DA6B45" w:rsidP="001868CC">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tcPr>
          <w:p w:rsidR="00DA6B45" w:rsidRPr="004C064C" w:rsidRDefault="00DA6B45" w:rsidP="001868CC">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DA6B45" w:rsidRPr="004C064C" w:rsidTr="009508E5">
        <w:tc>
          <w:tcPr>
            <w:tcW w:w="741" w:type="dxa"/>
            <w:vMerge/>
            <w:tcBorders>
              <w:left w:val="single" w:sz="4" w:space="0" w:color="auto"/>
              <w:right w:val="single" w:sz="4" w:space="0" w:color="auto"/>
            </w:tcBorders>
            <w:vAlign w:val="center"/>
          </w:tcPr>
          <w:p w:rsidR="00DA6B45" w:rsidRPr="004C064C" w:rsidRDefault="00DA6B45" w:rsidP="001868CC">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tcPr>
          <w:p w:rsidR="00DA6B45" w:rsidRPr="004C064C" w:rsidRDefault="00DA6B45" w:rsidP="001868CC">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tcPr>
          <w:p w:rsidR="00DA6B45" w:rsidRPr="004C064C" w:rsidRDefault="00DA6B45" w:rsidP="001868CC">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tcBorders>
              <w:top w:val="single" w:sz="4" w:space="0" w:color="auto"/>
              <w:left w:val="single" w:sz="4" w:space="0" w:color="auto"/>
              <w:bottom w:val="single" w:sz="4" w:space="0" w:color="auto"/>
              <w:right w:val="single" w:sz="4" w:space="0" w:color="auto"/>
            </w:tcBorders>
            <w:vAlign w:val="center"/>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r w:rsidR="00DA6B45" w:rsidRPr="004C064C" w:rsidTr="009508E5">
        <w:tc>
          <w:tcPr>
            <w:tcW w:w="741" w:type="dxa"/>
            <w:vMerge/>
            <w:tcBorders>
              <w:left w:val="single" w:sz="4" w:space="0" w:color="auto"/>
              <w:right w:val="single" w:sz="4" w:space="0" w:color="auto"/>
            </w:tcBorders>
            <w:vAlign w:val="center"/>
          </w:tcPr>
          <w:p w:rsidR="00DA6B45" w:rsidRPr="004C064C" w:rsidRDefault="00DA6B45" w:rsidP="001868CC">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DA6B45" w:rsidRPr="004C064C" w:rsidRDefault="00DA6B45" w:rsidP="001868CC">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DA6B45" w:rsidRPr="004C064C" w:rsidRDefault="00DA6B45" w:rsidP="001868CC">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3501</w:t>
            </w:r>
          </w:p>
        </w:tc>
        <w:tc>
          <w:tcPr>
            <w:tcW w:w="3008"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资产基金</w:t>
            </w:r>
          </w:p>
        </w:tc>
      </w:tr>
      <w:tr w:rsidR="00DA6B45" w:rsidRPr="004C064C" w:rsidTr="009508E5">
        <w:tc>
          <w:tcPr>
            <w:tcW w:w="741" w:type="dxa"/>
            <w:vMerge/>
            <w:tcBorders>
              <w:left w:val="single" w:sz="4" w:space="0" w:color="auto"/>
              <w:bottom w:val="single" w:sz="4" w:space="0" w:color="auto"/>
              <w:right w:val="single" w:sz="4" w:space="0" w:color="auto"/>
            </w:tcBorders>
            <w:vAlign w:val="center"/>
          </w:tcPr>
          <w:p w:rsidR="00DA6B45" w:rsidRPr="004C064C" w:rsidRDefault="00DA6B45">
            <w:pPr>
              <w:jc w:val="center"/>
              <w:rPr>
                <w:rFonts w:ascii="Times New Roman" w:eastAsia="仿宋_GB2312" w:hAnsi="Times New Roman" w:cs="Times New Roman"/>
                <w:sz w:val="28"/>
                <w:szCs w:val="28"/>
              </w:rPr>
            </w:pPr>
          </w:p>
        </w:tc>
        <w:tc>
          <w:tcPr>
            <w:tcW w:w="1056" w:type="dxa"/>
            <w:vMerge/>
            <w:tcBorders>
              <w:left w:val="single" w:sz="4" w:space="0" w:color="auto"/>
              <w:bottom w:val="single" w:sz="4" w:space="0" w:color="auto"/>
              <w:right w:val="single" w:sz="4" w:space="0" w:color="auto"/>
            </w:tcBorders>
            <w:vAlign w:val="center"/>
          </w:tcPr>
          <w:p w:rsidR="00DA6B45" w:rsidRPr="004C064C" w:rsidRDefault="00DA6B45">
            <w:pPr>
              <w:rPr>
                <w:rFonts w:ascii="Times New Roman" w:eastAsia="仿宋_GB2312" w:hAnsi="Times New Roman" w:cs="Times New Roman"/>
                <w:sz w:val="28"/>
                <w:szCs w:val="28"/>
              </w:rPr>
            </w:pPr>
          </w:p>
        </w:tc>
        <w:tc>
          <w:tcPr>
            <w:tcW w:w="2752" w:type="dxa"/>
            <w:vMerge/>
            <w:tcBorders>
              <w:left w:val="single" w:sz="4" w:space="0" w:color="auto"/>
              <w:bottom w:val="single" w:sz="4" w:space="0" w:color="auto"/>
              <w:right w:val="single" w:sz="4" w:space="0" w:color="auto"/>
            </w:tcBorders>
            <w:vAlign w:val="center"/>
          </w:tcPr>
          <w:p w:rsidR="00DA6B45" w:rsidRPr="004C064C" w:rsidRDefault="00DA6B45">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DA6B45"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3502</w:t>
            </w:r>
          </w:p>
        </w:tc>
        <w:tc>
          <w:tcPr>
            <w:tcW w:w="3008" w:type="dxa"/>
            <w:tcBorders>
              <w:top w:val="single" w:sz="4" w:space="0" w:color="auto"/>
              <w:left w:val="single" w:sz="4" w:space="0" w:color="auto"/>
              <w:bottom w:val="single" w:sz="4" w:space="0" w:color="auto"/>
              <w:right w:val="single" w:sz="4" w:space="0" w:color="auto"/>
            </w:tcBorders>
          </w:tcPr>
          <w:p w:rsidR="00DA6B45" w:rsidRPr="004C064C" w:rsidRDefault="001F524C" w:rsidP="00DA6B45">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待偿债净资产</w:t>
            </w:r>
          </w:p>
        </w:tc>
      </w:tr>
      <w:tr w:rsidR="00013EAF" w:rsidRPr="004C064C" w:rsidTr="009508E5">
        <w:tc>
          <w:tcPr>
            <w:tcW w:w="8613" w:type="dxa"/>
            <w:gridSpan w:val="5"/>
            <w:tcBorders>
              <w:top w:val="single" w:sz="4" w:space="0" w:color="auto"/>
              <w:left w:val="single" w:sz="4" w:space="0" w:color="auto"/>
              <w:bottom w:val="single" w:sz="4" w:space="0" w:color="auto"/>
              <w:right w:val="single" w:sz="4" w:space="0" w:color="auto"/>
            </w:tcBorders>
            <w:vAlign w:val="center"/>
          </w:tcPr>
          <w:p w:rsidR="00013EAF" w:rsidRPr="004C064C" w:rsidRDefault="001F524C">
            <w:pPr>
              <w:jc w:val="cente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四、预算结余类</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37</w:t>
            </w:r>
          </w:p>
        </w:tc>
        <w:tc>
          <w:tcPr>
            <w:tcW w:w="1056" w:type="dxa"/>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8101</w:t>
            </w:r>
          </w:p>
        </w:tc>
        <w:tc>
          <w:tcPr>
            <w:tcW w:w="2752" w:type="dxa"/>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38</w:t>
            </w:r>
          </w:p>
        </w:tc>
        <w:tc>
          <w:tcPr>
            <w:tcW w:w="1056" w:type="dxa"/>
            <w:tcBorders>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8102</w:t>
            </w:r>
          </w:p>
        </w:tc>
        <w:tc>
          <w:tcPr>
            <w:tcW w:w="2752" w:type="dxa"/>
            <w:tcBorders>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c>
          <w:tcPr>
            <w:tcW w:w="1056"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39</w:t>
            </w:r>
          </w:p>
        </w:tc>
        <w:tc>
          <w:tcPr>
            <w:tcW w:w="1056" w:type="dxa"/>
            <w:tcBorders>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8201</w:t>
            </w:r>
          </w:p>
        </w:tc>
        <w:tc>
          <w:tcPr>
            <w:tcW w:w="2752" w:type="dxa"/>
            <w:tcBorders>
              <w:left w:val="single" w:sz="4" w:space="0" w:color="auto"/>
              <w:right w:val="single" w:sz="4" w:space="0" w:color="auto"/>
            </w:tcBorders>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非财政拨款结转</w:t>
            </w:r>
          </w:p>
        </w:tc>
        <w:tc>
          <w:tcPr>
            <w:tcW w:w="1056"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vMerge w:val="restart"/>
            <w:tcBorders>
              <w:top w:val="single" w:sz="4" w:space="0" w:color="auto"/>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r w:rsidR="00013EAF" w:rsidRPr="004C064C" w:rsidTr="009508E5">
        <w:tc>
          <w:tcPr>
            <w:tcW w:w="741" w:type="dxa"/>
            <w:tcBorders>
              <w:top w:val="single" w:sz="4" w:space="0" w:color="auto"/>
              <w:left w:val="single" w:sz="4" w:space="0" w:color="auto"/>
              <w:bottom w:val="single" w:sz="4" w:space="0" w:color="auto"/>
              <w:right w:val="single" w:sz="4" w:space="0" w:color="auto"/>
            </w:tcBorders>
            <w:vAlign w:val="center"/>
          </w:tcPr>
          <w:p w:rsidR="00013EAF" w:rsidRPr="004C064C" w:rsidRDefault="009E557A" w:rsidP="00A05CF4">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40</w:t>
            </w:r>
          </w:p>
        </w:tc>
        <w:tc>
          <w:tcPr>
            <w:tcW w:w="1056" w:type="dxa"/>
            <w:tcBorders>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8202</w:t>
            </w:r>
          </w:p>
        </w:tc>
        <w:tc>
          <w:tcPr>
            <w:tcW w:w="2752" w:type="dxa"/>
            <w:tcBorders>
              <w:left w:val="single" w:sz="4" w:space="0" w:color="auto"/>
              <w:right w:val="single" w:sz="4" w:space="0" w:color="auto"/>
            </w:tcBorders>
            <w:vAlign w:val="center"/>
          </w:tcPr>
          <w:p w:rsidR="00013EAF" w:rsidRPr="004C064C" w:rsidRDefault="001F524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非财政拨款结余</w:t>
            </w:r>
          </w:p>
        </w:tc>
        <w:tc>
          <w:tcPr>
            <w:tcW w:w="1056" w:type="dxa"/>
            <w:vMerge/>
            <w:tcBorders>
              <w:left w:val="single" w:sz="4" w:space="0" w:color="auto"/>
              <w:bottom w:val="single" w:sz="4" w:space="0" w:color="auto"/>
              <w:right w:val="single" w:sz="4" w:space="0" w:color="auto"/>
            </w:tcBorders>
          </w:tcPr>
          <w:p w:rsidR="00013EAF" w:rsidRPr="004C064C" w:rsidRDefault="00013EAF">
            <w:pPr>
              <w:rPr>
                <w:rFonts w:ascii="Times New Roman" w:eastAsia="仿宋_GB2312" w:hAnsi="Times New Roman" w:cs="Times New Roman"/>
                <w:sz w:val="28"/>
                <w:szCs w:val="28"/>
              </w:rPr>
            </w:pPr>
          </w:p>
        </w:tc>
        <w:tc>
          <w:tcPr>
            <w:tcW w:w="3008" w:type="dxa"/>
            <w:vMerge/>
            <w:tcBorders>
              <w:left w:val="single" w:sz="4" w:space="0" w:color="auto"/>
              <w:bottom w:val="single" w:sz="4" w:space="0" w:color="auto"/>
              <w:right w:val="single" w:sz="4" w:space="0" w:color="auto"/>
            </w:tcBorders>
          </w:tcPr>
          <w:p w:rsidR="00013EAF" w:rsidRPr="004C064C" w:rsidRDefault="00013EAF">
            <w:pPr>
              <w:rPr>
                <w:rFonts w:ascii="Times New Roman" w:eastAsia="仿宋_GB2312" w:hAnsi="Times New Roman" w:cs="Times New Roman"/>
                <w:sz w:val="28"/>
                <w:szCs w:val="28"/>
              </w:rPr>
            </w:pPr>
          </w:p>
        </w:tc>
      </w:tr>
      <w:tr w:rsidR="007F25E0" w:rsidRPr="004C064C" w:rsidTr="009508E5">
        <w:tc>
          <w:tcPr>
            <w:tcW w:w="741" w:type="dxa"/>
            <w:vMerge w:val="restart"/>
            <w:tcBorders>
              <w:top w:val="single" w:sz="4" w:space="0" w:color="auto"/>
              <w:left w:val="single" w:sz="4" w:space="0" w:color="auto"/>
              <w:right w:val="single" w:sz="4" w:space="0" w:color="auto"/>
            </w:tcBorders>
            <w:vAlign w:val="center"/>
          </w:tcPr>
          <w:p w:rsidR="007F25E0" w:rsidRPr="004C064C" w:rsidRDefault="00A05CF4" w:rsidP="009E557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9E557A">
              <w:rPr>
                <w:rFonts w:ascii="Times New Roman" w:eastAsia="仿宋_GB2312" w:hAnsi="Times New Roman" w:cs="Times New Roman" w:hint="eastAsia"/>
                <w:sz w:val="28"/>
                <w:szCs w:val="28"/>
              </w:rPr>
              <w:t>1</w:t>
            </w:r>
          </w:p>
        </w:tc>
        <w:tc>
          <w:tcPr>
            <w:tcW w:w="1056" w:type="dxa"/>
            <w:vMerge w:val="restart"/>
            <w:tcBorders>
              <w:top w:val="single" w:sz="4" w:space="0" w:color="auto"/>
              <w:left w:val="single" w:sz="4" w:space="0" w:color="auto"/>
              <w:right w:val="single" w:sz="4" w:space="0" w:color="auto"/>
            </w:tcBorders>
            <w:vAlign w:val="center"/>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8001</w:t>
            </w:r>
          </w:p>
        </w:tc>
        <w:tc>
          <w:tcPr>
            <w:tcW w:w="2752" w:type="dxa"/>
            <w:vMerge w:val="restart"/>
            <w:tcBorders>
              <w:top w:val="single" w:sz="4" w:space="0" w:color="auto"/>
              <w:left w:val="single" w:sz="4" w:space="0" w:color="auto"/>
              <w:right w:val="single" w:sz="4" w:space="0" w:color="auto"/>
            </w:tcBorders>
            <w:vAlign w:val="center"/>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资金结存（借方）</w:t>
            </w:r>
          </w:p>
        </w:tc>
        <w:tc>
          <w:tcPr>
            <w:tcW w:w="1056" w:type="dxa"/>
            <w:tcBorders>
              <w:top w:val="single" w:sz="4" w:space="0" w:color="auto"/>
              <w:left w:val="single" w:sz="4" w:space="0" w:color="auto"/>
              <w:bottom w:val="single" w:sz="4" w:space="0" w:color="auto"/>
              <w:right w:val="single" w:sz="4" w:space="0" w:color="auto"/>
            </w:tcBorders>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3001</w:t>
            </w:r>
          </w:p>
        </w:tc>
        <w:tc>
          <w:tcPr>
            <w:tcW w:w="3008" w:type="dxa"/>
            <w:tcBorders>
              <w:top w:val="single" w:sz="4" w:space="0" w:color="auto"/>
              <w:left w:val="single" w:sz="4" w:space="0" w:color="auto"/>
              <w:bottom w:val="single" w:sz="4" w:space="0" w:color="auto"/>
              <w:right w:val="single" w:sz="4" w:space="0" w:color="auto"/>
            </w:tcBorders>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财政拨款结转</w:t>
            </w:r>
          </w:p>
        </w:tc>
      </w:tr>
      <w:tr w:rsidR="007F25E0" w:rsidRPr="004C064C" w:rsidTr="009508E5">
        <w:tc>
          <w:tcPr>
            <w:tcW w:w="741" w:type="dxa"/>
            <w:vMerge/>
            <w:tcBorders>
              <w:left w:val="single" w:sz="4" w:space="0" w:color="auto"/>
              <w:right w:val="single" w:sz="4" w:space="0" w:color="auto"/>
            </w:tcBorders>
            <w:vAlign w:val="center"/>
          </w:tcPr>
          <w:p w:rsidR="007F25E0" w:rsidRPr="004C064C" w:rsidRDefault="007F25E0" w:rsidP="001868CC">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7F25E0" w:rsidRPr="004C064C" w:rsidRDefault="007F25E0" w:rsidP="001868CC">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7F25E0" w:rsidRPr="004C064C" w:rsidRDefault="007F25E0" w:rsidP="001868CC">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3002</w:t>
            </w:r>
          </w:p>
        </w:tc>
        <w:tc>
          <w:tcPr>
            <w:tcW w:w="3008" w:type="dxa"/>
            <w:tcBorders>
              <w:top w:val="single" w:sz="4" w:space="0" w:color="auto"/>
              <w:left w:val="single" w:sz="4" w:space="0" w:color="auto"/>
              <w:bottom w:val="single" w:sz="4" w:space="0" w:color="auto"/>
              <w:right w:val="single" w:sz="4" w:space="0" w:color="auto"/>
            </w:tcBorders>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财政拨款结余</w:t>
            </w:r>
          </w:p>
        </w:tc>
      </w:tr>
      <w:tr w:rsidR="007F25E0" w:rsidRPr="004C064C" w:rsidTr="009508E5">
        <w:tc>
          <w:tcPr>
            <w:tcW w:w="741" w:type="dxa"/>
            <w:vMerge/>
            <w:tcBorders>
              <w:left w:val="single" w:sz="4" w:space="0" w:color="auto"/>
              <w:bottom w:val="single" w:sz="4" w:space="0" w:color="auto"/>
              <w:right w:val="single" w:sz="4" w:space="0" w:color="auto"/>
            </w:tcBorders>
            <w:vAlign w:val="center"/>
          </w:tcPr>
          <w:p w:rsidR="007F25E0" w:rsidRPr="004C064C" w:rsidRDefault="007F25E0" w:rsidP="001868CC">
            <w:pPr>
              <w:jc w:val="center"/>
              <w:rPr>
                <w:rFonts w:ascii="Times New Roman" w:eastAsia="仿宋_GB2312" w:hAnsi="Times New Roman" w:cs="Times New Roman"/>
                <w:sz w:val="28"/>
                <w:szCs w:val="28"/>
              </w:rPr>
            </w:pPr>
          </w:p>
        </w:tc>
        <w:tc>
          <w:tcPr>
            <w:tcW w:w="1056" w:type="dxa"/>
            <w:vMerge/>
            <w:tcBorders>
              <w:left w:val="single" w:sz="4" w:space="0" w:color="auto"/>
              <w:right w:val="single" w:sz="4" w:space="0" w:color="auto"/>
            </w:tcBorders>
            <w:vAlign w:val="center"/>
          </w:tcPr>
          <w:p w:rsidR="007F25E0" w:rsidRPr="004C064C" w:rsidRDefault="007F25E0" w:rsidP="001868CC">
            <w:pPr>
              <w:rPr>
                <w:rFonts w:ascii="Times New Roman" w:eastAsia="仿宋_GB2312" w:hAnsi="Times New Roman" w:cs="Times New Roman"/>
                <w:sz w:val="28"/>
                <w:szCs w:val="28"/>
              </w:rPr>
            </w:pPr>
          </w:p>
        </w:tc>
        <w:tc>
          <w:tcPr>
            <w:tcW w:w="2752" w:type="dxa"/>
            <w:vMerge/>
            <w:tcBorders>
              <w:left w:val="single" w:sz="4" w:space="0" w:color="auto"/>
              <w:right w:val="single" w:sz="4" w:space="0" w:color="auto"/>
            </w:tcBorders>
            <w:vAlign w:val="center"/>
          </w:tcPr>
          <w:p w:rsidR="007F25E0" w:rsidRPr="004C064C" w:rsidRDefault="007F25E0" w:rsidP="001868CC">
            <w:pPr>
              <w:rPr>
                <w:rFonts w:ascii="Times New Roman" w:eastAsia="仿宋_GB2312"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sz w:val="28"/>
                <w:szCs w:val="28"/>
              </w:rPr>
              <w:t>3101</w:t>
            </w:r>
          </w:p>
        </w:tc>
        <w:tc>
          <w:tcPr>
            <w:tcW w:w="3008" w:type="dxa"/>
            <w:tcBorders>
              <w:top w:val="single" w:sz="4" w:space="0" w:color="auto"/>
              <w:left w:val="single" w:sz="4" w:space="0" w:color="auto"/>
              <w:bottom w:val="single" w:sz="4" w:space="0" w:color="auto"/>
              <w:right w:val="single" w:sz="4" w:space="0" w:color="auto"/>
            </w:tcBorders>
            <w:vAlign w:val="center"/>
          </w:tcPr>
          <w:p w:rsidR="007F25E0" w:rsidRPr="004C064C" w:rsidRDefault="001F524C" w:rsidP="001868CC">
            <w:pPr>
              <w:rPr>
                <w:rFonts w:ascii="Times New Roman" w:eastAsia="仿宋_GB2312" w:hAnsi="Times New Roman" w:cs="Times New Roman"/>
                <w:sz w:val="28"/>
                <w:szCs w:val="28"/>
              </w:rPr>
            </w:pPr>
            <w:r w:rsidRPr="001F524C">
              <w:rPr>
                <w:rFonts w:ascii="Times New Roman" w:eastAsia="仿宋_GB2312" w:hAnsi="Times New Roman" w:cs="Times New Roman" w:hint="eastAsia"/>
                <w:sz w:val="28"/>
                <w:szCs w:val="28"/>
              </w:rPr>
              <w:t>其他资金结转结余</w:t>
            </w:r>
          </w:p>
        </w:tc>
      </w:tr>
    </w:tbl>
    <w:p w:rsidR="007F25E0" w:rsidRPr="004C064C" w:rsidRDefault="007F25E0">
      <w:pPr>
        <w:widowControl/>
        <w:jc w:val="left"/>
        <w:rPr>
          <w:rFonts w:ascii="Times New Roman" w:eastAsia="仿宋_GB2312" w:hAnsi="Times New Roman" w:cs="Times New Roman"/>
          <w:sz w:val="28"/>
          <w:szCs w:val="28"/>
        </w:rPr>
      </w:pPr>
    </w:p>
    <w:sectPr w:rsidR="007F25E0" w:rsidRPr="004C064C" w:rsidSect="004315C7">
      <w:footerReference w:type="default" r:id="rId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D0" w:rsidRDefault="002D62D0" w:rsidP="004315C7">
      <w:r>
        <w:separator/>
      </w:r>
    </w:p>
  </w:endnote>
  <w:endnote w:type="continuationSeparator" w:id="0">
    <w:p w:rsidR="002D62D0" w:rsidRDefault="002D62D0" w:rsidP="0043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7D" w:rsidRDefault="001F5761">
    <w:pPr>
      <w:pStyle w:val="a9"/>
      <w:framePr w:wrap="around" w:vAnchor="text" w:hAnchor="margin" w:xAlign="center" w:y="1"/>
      <w:rPr>
        <w:rStyle w:val="af"/>
      </w:rPr>
    </w:pPr>
    <w:r>
      <w:rPr>
        <w:rStyle w:val="af"/>
        <w:rFonts w:cs="Calibri"/>
      </w:rPr>
      <w:fldChar w:fldCharType="begin"/>
    </w:r>
    <w:r w:rsidR="0044777D">
      <w:rPr>
        <w:rStyle w:val="af"/>
        <w:rFonts w:cs="Calibri"/>
      </w:rPr>
      <w:instrText xml:space="preserve">PAGE  </w:instrText>
    </w:r>
    <w:r>
      <w:rPr>
        <w:rStyle w:val="af"/>
        <w:rFonts w:cs="Calibri"/>
      </w:rPr>
      <w:fldChar w:fldCharType="separate"/>
    </w:r>
    <w:r w:rsidR="00752FCF">
      <w:rPr>
        <w:rStyle w:val="af"/>
        <w:rFonts w:cs="Calibri"/>
        <w:noProof/>
      </w:rPr>
      <w:t>2</w:t>
    </w:r>
    <w:r>
      <w:rPr>
        <w:rStyle w:val="af"/>
        <w:rFonts w:cs="Calibri"/>
      </w:rPr>
      <w:fldChar w:fldCharType="end"/>
    </w:r>
  </w:p>
  <w:p w:rsidR="0044777D" w:rsidRDefault="0044777D">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D0" w:rsidRDefault="002D62D0" w:rsidP="004315C7">
      <w:r>
        <w:separator/>
      </w:r>
    </w:p>
  </w:footnote>
  <w:footnote w:type="continuationSeparator" w:id="0">
    <w:p w:rsidR="002D62D0" w:rsidRDefault="002D62D0" w:rsidP="00431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74"/>
    <w:rsid w:val="00005D88"/>
    <w:rsid w:val="000076B4"/>
    <w:rsid w:val="000120D3"/>
    <w:rsid w:val="000135AE"/>
    <w:rsid w:val="00013EAF"/>
    <w:rsid w:val="00017AE9"/>
    <w:rsid w:val="0004728E"/>
    <w:rsid w:val="000608C5"/>
    <w:rsid w:val="00060C61"/>
    <w:rsid w:val="0006424D"/>
    <w:rsid w:val="00077064"/>
    <w:rsid w:val="000865BB"/>
    <w:rsid w:val="00097886"/>
    <w:rsid w:val="000C1D85"/>
    <w:rsid w:val="000E0F5D"/>
    <w:rsid w:val="000E4EB0"/>
    <w:rsid w:val="000E535D"/>
    <w:rsid w:val="000F3DFA"/>
    <w:rsid w:val="00114C62"/>
    <w:rsid w:val="001154B5"/>
    <w:rsid w:val="00116DEE"/>
    <w:rsid w:val="0012106B"/>
    <w:rsid w:val="00137981"/>
    <w:rsid w:val="00145CFF"/>
    <w:rsid w:val="00146474"/>
    <w:rsid w:val="00162337"/>
    <w:rsid w:val="001630F5"/>
    <w:rsid w:val="001742C8"/>
    <w:rsid w:val="00175CD9"/>
    <w:rsid w:val="001824BE"/>
    <w:rsid w:val="001868CC"/>
    <w:rsid w:val="00194E91"/>
    <w:rsid w:val="0019766E"/>
    <w:rsid w:val="001A26CD"/>
    <w:rsid w:val="001B0391"/>
    <w:rsid w:val="001B0CCC"/>
    <w:rsid w:val="001C7797"/>
    <w:rsid w:val="001F524C"/>
    <w:rsid w:val="001F5761"/>
    <w:rsid w:val="001F7956"/>
    <w:rsid w:val="00214C77"/>
    <w:rsid w:val="00216E9B"/>
    <w:rsid w:val="00223F57"/>
    <w:rsid w:val="0022733F"/>
    <w:rsid w:val="00230CC6"/>
    <w:rsid w:val="00231900"/>
    <w:rsid w:val="00231AC9"/>
    <w:rsid w:val="002438E0"/>
    <w:rsid w:val="00255F6C"/>
    <w:rsid w:val="00260243"/>
    <w:rsid w:val="00261883"/>
    <w:rsid w:val="00270B6C"/>
    <w:rsid w:val="00273E48"/>
    <w:rsid w:val="00276798"/>
    <w:rsid w:val="00284822"/>
    <w:rsid w:val="002A5659"/>
    <w:rsid w:val="002B049D"/>
    <w:rsid w:val="002B3141"/>
    <w:rsid w:val="002B7B8E"/>
    <w:rsid w:val="002D62D0"/>
    <w:rsid w:val="002E7F66"/>
    <w:rsid w:val="002F4ADB"/>
    <w:rsid w:val="002F5C62"/>
    <w:rsid w:val="0030282F"/>
    <w:rsid w:val="00310024"/>
    <w:rsid w:val="00313937"/>
    <w:rsid w:val="0032209A"/>
    <w:rsid w:val="0033536E"/>
    <w:rsid w:val="003402AA"/>
    <w:rsid w:val="00342885"/>
    <w:rsid w:val="00347971"/>
    <w:rsid w:val="0036414E"/>
    <w:rsid w:val="00366085"/>
    <w:rsid w:val="0036611B"/>
    <w:rsid w:val="00374AAF"/>
    <w:rsid w:val="00375CBF"/>
    <w:rsid w:val="003767E4"/>
    <w:rsid w:val="00384B7C"/>
    <w:rsid w:val="003909DD"/>
    <w:rsid w:val="0039774D"/>
    <w:rsid w:val="003A23A5"/>
    <w:rsid w:val="003A4F59"/>
    <w:rsid w:val="003B7DD9"/>
    <w:rsid w:val="003F342B"/>
    <w:rsid w:val="003F3FA2"/>
    <w:rsid w:val="00424740"/>
    <w:rsid w:val="00426CD9"/>
    <w:rsid w:val="00430FFD"/>
    <w:rsid w:val="004315C7"/>
    <w:rsid w:val="00436B67"/>
    <w:rsid w:val="00441888"/>
    <w:rsid w:val="0044391C"/>
    <w:rsid w:val="0044777D"/>
    <w:rsid w:val="00465AEB"/>
    <w:rsid w:val="00466CE7"/>
    <w:rsid w:val="004A15F3"/>
    <w:rsid w:val="004A270A"/>
    <w:rsid w:val="004A2986"/>
    <w:rsid w:val="004A57D9"/>
    <w:rsid w:val="004C064C"/>
    <w:rsid w:val="004C08C9"/>
    <w:rsid w:val="004F3F18"/>
    <w:rsid w:val="004F59C9"/>
    <w:rsid w:val="004F62CE"/>
    <w:rsid w:val="00504048"/>
    <w:rsid w:val="00505C34"/>
    <w:rsid w:val="0053058E"/>
    <w:rsid w:val="00540F09"/>
    <w:rsid w:val="00542275"/>
    <w:rsid w:val="005445AE"/>
    <w:rsid w:val="00551337"/>
    <w:rsid w:val="00555419"/>
    <w:rsid w:val="005864FA"/>
    <w:rsid w:val="00587449"/>
    <w:rsid w:val="00596C61"/>
    <w:rsid w:val="00597F44"/>
    <w:rsid w:val="005A076D"/>
    <w:rsid w:val="005B2A6B"/>
    <w:rsid w:val="005B3A3C"/>
    <w:rsid w:val="005B59B8"/>
    <w:rsid w:val="005C09FC"/>
    <w:rsid w:val="005C770C"/>
    <w:rsid w:val="005C78FE"/>
    <w:rsid w:val="005D1C87"/>
    <w:rsid w:val="00610734"/>
    <w:rsid w:val="00611496"/>
    <w:rsid w:val="00612B82"/>
    <w:rsid w:val="006141E1"/>
    <w:rsid w:val="00623920"/>
    <w:rsid w:val="00627C91"/>
    <w:rsid w:val="00635D35"/>
    <w:rsid w:val="00637D8A"/>
    <w:rsid w:val="00644EF0"/>
    <w:rsid w:val="00644F5A"/>
    <w:rsid w:val="0065140A"/>
    <w:rsid w:val="006605F7"/>
    <w:rsid w:val="00670D97"/>
    <w:rsid w:val="00673378"/>
    <w:rsid w:val="00673FFD"/>
    <w:rsid w:val="00682CDB"/>
    <w:rsid w:val="006A235C"/>
    <w:rsid w:val="006A41C0"/>
    <w:rsid w:val="006A4232"/>
    <w:rsid w:val="006B742D"/>
    <w:rsid w:val="006C34F3"/>
    <w:rsid w:val="006D3790"/>
    <w:rsid w:val="006E74D5"/>
    <w:rsid w:val="006F0F44"/>
    <w:rsid w:val="006F3619"/>
    <w:rsid w:val="006F67CD"/>
    <w:rsid w:val="006F7361"/>
    <w:rsid w:val="00700679"/>
    <w:rsid w:val="0070080D"/>
    <w:rsid w:val="00702DF1"/>
    <w:rsid w:val="00703280"/>
    <w:rsid w:val="00703B11"/>
    <w:rsid w:val="00713215"/>
    <w:rsid w:val="007344DD"/>
    <w:rsid w:val="0073484B"/>
    <w:rsid w:val="0074624E"/>
    <w:rsid w:val="00747855"/>
    <w:rsid w:val="007521C6"/>
    <w:rsid w:val="00752FCF"/>
    <w:rsid w:val="0076110C"/>
    <w:rsid w:val="00761A15"/>
    <w:rsid w:val="00786DDC"/>
    <w:rsid w:val="00787D05"/>
    <w:rsid w:val="007916FD"/>
    <w:rsid w:val="00793183"/>
    <w:rsid w:val="007B4126"/>
    <w:rsid w:val="007B4B24"/>
    <w:rsid w:val="007C7EE4"/>
    <w:rsid w:val="007F25E0"/>
    <w:rsid w:val="007F6FBD"/>
    <w:rsid w:val="008013E6"/>
    <w:rsid w:val="00801B3D"/>
    <w:rsid w:val="00802F75"/>
    <w:rsid w:val="008032FD"/>
    <w:rsid w:val="00834556"/>
    <w:rsid w:val="00850B35"/>
    <w:rsid w:val="00855E8D"/>
    <w:rsid w:val="00856911"/>
    <w:rsid w:val="008635D8"/>
    <w:rsid w:val="0087357C"/>
    <w:rsid w:val="00875125"/>
    <w:rsid w:val="0087572D"/>
    <w:rsid w:val="00880E50"/>
    <w:rsid w:val="00885246"/>
    <w:rsid w:val="00885E8E"/>
    <w:rsid w:val="0089033A"/>
    <w:rsid w:val="00894D46"/>
    <w:rsid w:val="008956F0"/>
    <w:rsid w:val="008A7962"/>
    <w:rsid w:val="008B1A39"/>
    <w:rsid w:val="008B2B93"/>
    <w:rsid w:val="008B626F"/>
    <w:rsid w:val="008C30B0"/>
    <w:rsid w:val="008D2A58"/>
    <w:rsid w:val="008D533A"/>
    <w:rsid w:val="008D7621"/>
    <w:rsid w:val="008E4B9B"/>
    <w:rsid w:val="008E598D"/>
    <w:rsid w:val="008F33AD"/>
    <w:rsid w:val="008F3DA6"/>
    <w:rsid w:val="008F6A48"/>
    <w:rsid w:val="008F6C83"/>
    <w:rsid w:val="008F72E1"/>
    <w:rsid w:val="009000A5"/>
    <w:rsid w:val="009114F4"/>
    <w:rsid w:val="00917713"/>
    <w:rsid w:val="0092065C"/>
    <w:rsid w:val="00922615"/>
    <w:rsid w:val="00923526"/>
    <w:rsid w:val="009247D8"/>
    <w:rsid w:val="00944EDA"/>
    <w:rsid w:val="009508E5"/>
    <w:rsid w:val="00953136"/>
    <w:rsid w:val="00955542"/>
    <w:rsid w:val="00960FE4"/>
    <w:rsid w:val="00963233"/>
    <w:rsid w:val="0097117F"/>
    <w:rsid w:val="00972089"/>
    <w:rsid w:val="009C27B7"/>
    <w:rsid w:val="009C606F"/>
    <w:rsid w:val="009D1CE5"/>
    <w:rsid w:val="009D692A"/>
    <w:rsid w:val="009E557A"/>
    <w:rsid w:val="009F19A9"/>
    <w:rsid w:val="009F2219"/>
    <w:rsid w:val="009F3275"/>
    <w:rsid w:val="009F5EC0"/>
    <w:rsid w:val="00A05CF4"/>
    <w:rsid w:val="00A107FB"/>
    <w:rsid w:val="00A15628"/>
    <w:rsid w:val="00A5497A"/>
    <w:rsid w:val="00A604C3"/>
    <w:rsid w:val="00A735D3"/>
    <w:rsid w:val="00A93A6C"/>
    <w:rsid w:val="00A93BD3"/>
    <w:rsid w:val="00AA57DA"/>
    <w:rsid w:val="00AC1488"/>
    <w:rsid w:val="00AC65CE"/>
    <w:rsid w:val="00AE75BE"/>
    <w:rsid w:val="00B008E7"/>
    <w:rsid w:val="00B00C30"/>
    <w:rsid w:val="00B15980"/>
    <w:rsid w:val="00B17544"/>
    <w:rsid w:val="00B26EBD"/>
    <w:rsid w:val="00B3511D"/>
    <w:rsid w:val="00B368A8"/>
    <w:rsid w:val="00B552C9"/>
    <w:rsid w:val="00B660BE"/>
    <w:rsid w:val="00B83A34"/>
    <w:rsid w:val="00B95E0D"/>
    <w:rsid w:val="00BA6FF9"/>
    <w:rsid w:val="00BB2996"/>
    <w:rsid w:val="00BB2B21"/>
    <w:rsid w:val="00BB4F01"/>
    <w:rsid w:val="00BC0091"/>
    <w:rsid w:val="00BC1E2B"/>
    <w:rsid w:val="00BC25C0"/>
    <w:rsid w:val="00BE4DB2"/>
    <w:rsid w:val="00BF3D8E"/>
    <w:rsid w:val="00C00BE6"/>
    <w:rsid w:val="00C02561"/>
    <w:rsid w:val="00C07676"/>
    <w:rsid w:val="00C120A4"/>
    <w:rsid w:val="00C15F60"/>
    <w:rsid w:val="00C17C67"/>
    <w:rsid w:val="00C231C4"/>
    <w:rsid w:val="00C248F7"/>
    <w:rsid w:val="00C34F52"/>
    <w:rsid w:val="00C43298"/>
    <w:rsid w:val="00C73683"/>
    <w:rsid w:val="00C83504"/>
    <w:rsid w:val="00C8505D"/>
    <w:rsid w:val="00CB0E28"/>
    <w:rsid w:val="00CB18E0"/>
    <w:rsid w:val="00CC45D0"/>
    <w:rsid w:val="00CE4815"/>
    <w:rsid w:val="00CF1638"/>
    <w:rsid w:val="00CF4A94"/>
    <w:rsid w:val="00CF6A72"/>
    <w:rsid w:val="00D072E6"/>
    <w:rsid w:val="00D5324C"/>
    <w:rsid w:val="00D53D09"/>
    <w:rsid w:val="00D65ACE"/>
    <w:rsid w:val="00D766DB"/>
    <w:rsid w:val="00D84AE4"/>
    <w:rsid w:val="00D87196"/>
    <w:rsid w:val="00DA213C"/>
    <w:rsid w:val="00DA507F"/>
    <w:rsid w:val="00DA6B45"/>
    <w:rsid w:val="00DC2CE1"/>
    <w:rsid w:val="00DC72F7"/>
    <w:rsid w:val="00DD33D1"/>
    <w:rsid w:val="00DD6435"/>
    <w:rsid w:val="00DF7738"/>
    <w:rsid w:val="00E04F1A"/>
    <w:rsid w:val="00E27956"/>
    <w:rsid w:val="00E30C65"/>
    <w:rsid w:val="00E35081"/>
    <w:rsid w:val="00E515DE"/>
    <w:rsid w:val="00E655DD"/>
    <w:rsid w:val="00E876B6"/>
    <w:rsid w:val="00E87A0A"/>
    <w:rsid w:val="00EA3F35"/>
    <w:rsid w:val="00EA593B"/>
    <w:rsid w:val="00EA5DD1"/>
    <w:rsid w:val="00EB4AF7"/>
    <w:rsid w:val="00F01B7D"/>
    <w:rsid w:val="00F1225A"/>
    <w:rsid w:val="00F16A94"/>
    <w:rsid w:val="00F22B2C"/>
    <w:rsid w:val="00F36EED"/>
    <w:rsid w:val="00F41BD3"/>
    <w:rsid w:val="00F50F92"/>
    <w:rsid w:val="00F82163"/>
    <w:rsid w:val="00F830B0"/>
    <w:rsid w:val="00F85022"/>
    <w:rsid w:val="00FA20B6"/>
    <w:rsid w:val="00FA739C"/>
    <w:rsid w:val="00FA75E8"/>
    <w:rsid w:val="00FB02DC"/>
    <w:rsid w:val="00FB30F2"/>
    <w:rsid w:val="00FD4A4F"/>
    <w:rsid w:val="00FE1E3A"/>
    <w:rsid w:val="00FE7DFF"/>
    <w:rsid w:val="00FF2526"/>
    <w:rsid w:val="011A184B"/>
    <w:rsid w:val="128557CD"/>
    <w:rsid w:val="2E1936AE"/>
    <w:rsid w:val="3BE72F26"/>
    <w:rsid w:val="62C54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01C53A-0AA7-4DB5-A371-63023519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5C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sid w:val="004315C7"/>
    <w:rPr>
      <w:b/>
      <w:bCs/>
    </w:rPr>
  </w:style>
  <w:style w:type="paragraph" w:styleId="a4">
    <w:name w:val="annotation text"/>
    <w:basedOn w:val="a"/>
    <w:link w:val="a6"/>
    <w:semiHidden/>
    <w:rsid w:val="004315C7"/>
    <w:pPr>
      <w:jc w:val="left"/>
    </w:pPr>
  </w:style>
  <w:style w:type="paragraph" w:styleId="a7">
    <w:name w:val="Balloon Text"/>
    <w:basedOn w:val="a"/>
    <w:link w:val="a8"/>
    <w:semiHidden/>
    <w:qFormat/>
    <w:rsid w:val="004315C7"/>
    <w:rPr>
      <w:sz w:val="18"/>
      <w:szCs w:val="18"/>
    </w:rPr>
  </w:style>
  <w:style w:type="paragraph" w:styleId="a9">
    <w:name w:val="footer"/>
    <w:basedOn w:val="a"/>
    <w:link w:val="aa"/>
    <w:qFormat/>
    <w:rsid w:val="004315C7"/>
    <w:pPr>
      <w:tabs>
        <w:tab w:val="center" w:pos="4153"/>
        <w:tab w:val="right" w:pos="8306"/>
      </w:tabs>
      <w:snapToGrid w:val="0"/>
      <w:jc w:val="left"/>
    </w:pPr>
    <w:rPr>
      <w:sz w:val="18"/>
      <w:szCs w:val="18"/>
    </w:rPr>
  </w:style>
  <w:style w:type="paragraph" w:styleId="ab">
    <w:name w:val="header"/>
    <w:basedOn w:val="a"/>
    <w:link w:val="ac"/>
    <w:qFormat/>
    <w:rsid w:val="004315C7"/>
    <w:pPr>
      <w:pBdr>
        <w:bottom w:val="single" w:sz="6" w:space="1" w:color="auto"/>
      </w:pBdr>
      <w:tabs>
        <w:tab w:val="center" w:pos="4153"/>
        <w:tab w:val="right" w:pos="8306"/>
      </w:tabs>
      <w:snapToGrid w:val="0"/>
      <w:jc w:val="center"/>
    </w:pPr>
    <w:rPr>
      <w:rFonts w:cs="Times New Roman"/>
      <w:sz w:val="18"/>
      <w:szCs w:val="18"/>
    </w:rPr>
  </w:style>
  <w:style w:type="paragraph" w:styleId="ad">
    <w:name w:val="footnote text"/>
    <w:basedOn w:val="a"/>
    <w:link w:val="ae"/>
    <w:semiHidden/>
    <w:qFormat/>
    <w:rsid w:val="004315C7"/>
    <w:pPr>
      <w:snapToGrid w:val="0"/>
      <w:jc w:val="left"/>
    </w:pPr>
    <w:rPr>
      <w:sz w:val="18"/>
      <w:szCs w:val="18"/>
    </w:rPr>
  </w:style>
  <w:style w:type="character" w:styleId="af">
    <w:name w:val="page number"/>
    <w:qFormat/>
    <w:rsid w:val="004315C7"/>
    <w:rPr>
      <w:rFonts w:cs="Times New Roman"/>
    </w:rPr>
  </w:style>
  <w:style w:type="character" w:styleId="af0">
    <w:name w:val="annotation reference"/>
    <w:basedOn w:val="a0"/>
    <w:qFormat/>
    <w:rsid w:val="004315C7"/>
    <w:rPr>
      <w:sz w:val="21"/>
      <w:szCs w:val="21"/>
    </w:rPr>
  </w:style>
  <w:style w:type="character" w:styleId="af1">
    <w:name w:val="footnote reference"/>
    <w:semiHidden/>
    <w:qFormat/>
    <w:rsid w:val="004315C7"/>
    <w:rPr>
      <w:rFonts w:cs="Times New Roman"/>
      <w:vertAlign w:val="superscript"/>
    </w:rPr>
  </w:style>
  <w:style w:type="table" w:styleId="af2">
    <w:name w:val="Table Grid"/>
    <w:basedOn w:val="a1"/>
    <w:uiPriority w:val="59"/>
    <w:qFormat/>
    <w:rsid w:val="004315C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批注框文本 字符"/>
    <w:link w:val="a7"/>
    <w:semiHidden/>
    <w:qFormat/>
    <w:locked/>
    <w:rsid w:val="004315C7"/>
    <w:rPr>
      <w:rFonts w:ascii="Calibri" w:eastAsia="宋体" w:hAnsi="Calibri" w:cs="Calibri"/>
      <w:kern w:val="2"/>
      <w:sz w:val="18"/>
      <w:szCs w:val="18"/>
      <w:lang w:val="en-US" w:eastAsia="zh-CN" w:bidi="ar-SA"/>
    </w:rPr>
  </w:style>
  <w:style w:type="character" w:customStyle="1" w:styleId="a6">
    <w:name w:val="批注文字 字符"/>
    <w:link w:val="a4"/>
    <w:semiHidden/>
    <w:locked/>
    <w:rsid w:val="004315C7"/>
    <w:rPr>
      <w:rFonts w:ascii="Calibri" w:eastAsia="宋体" w:hAnsi="Calibri" w:cs="Calibri"/>
      <w:kern w:val="2"/>
      <w:sz w:val="21"/>
      <w:szCs w:val="21"/>
      <w:lang w:val="en-US" w:eastAsia="zh-CN" w:bidi="ar-SA"/>
    </w:rPr>
  </w:style>
  <w:style w:type="character" w:customStyle="1" w:styleId="ae">
    <w:name w:val="脚注文本 字符"/>
    <w:link w:val="ad"/>
    <w:semiHidden/>
    <w:qFormat/>
    <w:locked/>
    <w:rsid w:val="004315C7"/>
    <w:rPr>
      <w:rFonts w:ascii="Calibri" w:eastAsia="宋体" w:hAnsi="Calibri" w:cs="Calibri"/>
      <w:kern w:val="2"/>
      <w:sz w:val="18"/>
      <w:szCs w:val="18"/>
      <w:lang w:val="en-US" w:eastAsia="zh-CN" w:bidi="ar-SA"/>
    </w:rPr>
  </w:style>
  <w:style w:type="character" w:customStyle="1" w:styleId="aa">
    <w:name w:val="页脚 字符"/>
    <w:link w:val="a9"/>
    <w:semiHidden/>
    <w:qFormat/>
    <w:locked/>
    <w:rsid w:val="004315C7"/>
    <w:rPr>
      <w:rFonts w:ascii="Calibri" w:eastAsia="宋体" w:hAnsi="Calibri" w:cs="Calibri"/>
      <w:kern w:val="2"/>
      <w:sz w:val="18"/>
      <w:szCs w:val="18"/>
      <w:lang w:val="en-US" w:eastAsia="zh-CN" w:bidi="ar-SA"/>
    </w:rPr>
  </w:style>
  <w:style w:type="character" w:customStyle="1" w:styleId="ac">
    <w:name w:val="页眉 字符"/>
    <w:link w:val="ab"/>
    <w:qFormat/>
    <w:rsid w:val="004315C7"/>
    <w:rPr>
      <w:rFonts w:ascii="Calibri" w:hAnsi="Calibri" w:cs="Calibri"/>
      <w:kern w:val="2"/>
      <w:sz w:val="18"/>
      <w:szCs w:val="18"/>
    </w:rPr>
  </w:style>
  <w:style w:type="character" w:customStyle="1" w:styleId="a5">
    <w:name w:val="批注主题 字符"/>
    <w:basedOn w:val="a6"/>
    <w:link w:val="a3"/>
    <w:qFormat/>
    <w:rsid w:val="004315C7"/>
    <w:rPr>
      <w:rFonts w:ascii="Calibri" w:eastAsia="宋体" w:hAnsi="Calibri" w:cs="Calibri"/>
      <w:b/>
      <w:bCs/>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AC736-EA74-4E0F-A19D-709F4D44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1315</Words>
  <Characters>7498</Characters>
  <Application>Microsoft Office Word</Application>
  <DocSecurity>0</DocSecurity>
  <Lines>62</Lines>
  <Paragraphs>17</Paragraphs>
  <ScaleCrop>false</ScaleCrop>
  <Company>CHINA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《政府会计制度》与《行政单位会计制度》有关衔接问题的处理规定（模拟测试稿）</dc:title>
  <dc:creator>wy</dc:creator>
  <cp:lastModifiedBy>陈苾</cp:lastModifiedBy>
  <cp:revision>2</cp:revision>
  <cp:lastPrinted>2018-02-02T08:41:00Z</cp:lastPrinted>
  <dcterms:created xsi:type="dcterms:W3CDTF">2018-03-07T07:50:00Z</dcterms:created>
  <dcterms:modified xsi:type="dcterms:W3CDTF">2018-03-07T07:50:00Z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