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10998"/>
      </w:tblGrid>
      <w:tr w:rsidR="009472CC" w:rsidRPr="00254F99">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998"/>
            </w:tblGrid>
            <w:tr w:rsidR="009472CC" w:rsidRPr="00254F99">
              <w:trPr>
                <w:trHeight w:val="555"/>
                <w:tblCellSpacing w:w="0" w:type="dxa"/>
              </w:trPr>
              <w:tc>
                <w:tcPr>
                  <w:tcW w:w="0" w:type="auto"/>
                  <w:vAlign w:val="center"/>
                  <w:hideMark/>
                </w:tcPr>
                <w:p w:rsidR="009472CC" w:rsidRPr="00254F99" w:rsidRDefault="009472CC" w:rsidP="00DB4605">
                  <w:pPr>
                    <w:widowControl/>
                    <w:spacing w:line="360" w:lineRule="auto"/>
                    <w:jc w:val="center"/>
                    <w:rPr>
                      <w:rFonts w:ascii="Arial" w:eastAsia="宋体" w:hAnsi="Arial" w:cs="Arial"/>
                      <w:b/>
                      <w:bCs/>
                      <w:color w:val="185895"/>
                      <w:kern w:val="0"/>
                      <w:sz w:val="28"/>
                      <w:szCs w:val="28"/>
                    </w:rPr>
                  </w:pPr>
                  <w:r w:rsidRPr="00254F99">
                    <w:rPr>
                      <w:rFonts w:ascii="Arial" w:eastAsia="宋体" w:hAnsi="Arial" w:cs="Arial"/>
                      <w:b/>
                      <w:bCs/>
                      <w:color w:val="185895"/>
                      <w:kern w:val="0"/>
                      <w:sz w:val="28"/>
                      <w:szCs w:val="28"/>
                    </w:rPr>
                    <w:t>中华人民共和国财政部令第</w:t>
                  </w:r>
                  <w:r w:rsidRPr="00254F99">
                    <w:rPr>
                      <w:rFonts w:ascii="Arial" w:eastAsia="宋体" w:hAnsi="Arial" w:cs="Arial"/>
                      <w:b/>
                      <w:bCs/>
                      <w:color w:val="185895"/>
                      <w:kern w:val="0"/>
                      <w:sz w:val="28"/>
                      <w:szCs w:val="28"/>
                    </w:rPr>
                    <w:t>78</w:t>
                  </w:r>
                  <w:r w:rsidRPr="00254F99">
                    <w:rPr>
                      <w:rFonts w:ascii="Arial" w:eastAsia="宋体" w:hAnsi="Arial" w:cs="Arial"/>
                      <w:b/>
                      <w:bCs/>
                      <w:color w:val="185895"/>
                      <w:kern w:val="0"/>
                      <w:sz w:val="28"/>
                      <w:szCs w:val="28"/>
                    </w:rPr>
                    <w:t>号</w:t>
                  </w:r>
                  <w:r w:rsidRPr="00254F99">
                    <w:rPr>
                      <w:rFonts w:ascii="Arial" w:eastAsia="宋体" w:hAnsi="Arial" w:cs="Arial"/>
                      <w:b/>
                      <w:bCs/>
                      <w:color w:val="185895"/>
                      <w:kern w:val="0"/>
                      <w:sz w:val="28"/>
                      <w:szCs w:val="28"/>
                    </w:rPr>
                    <w:t>——</w:t>
                  </w:r>
                  <w:r w:rsidRPr="00254F99">
                    <w:rPr>
                      <w:rFonts w:ascii="Arial" w:eastAsia="宋体" w:hAnsi="Arial" w:cs="Arial"/>
                      <w:b/>
                      <w:bCs/>
                      <w:color w:val="185895"/>
                      <w:kern w:val="0"/>
                      <w:sz w:val="28"/>
                      <w:szCs w:val="28"/>
                    </w:rPr>
                    <w:br/>
                  </w:r>
                  <w:r w:rsidRPr="00254F99">
                    <w:rPr>
                      <w:rFonts w:ascii="Arial" w:eastAsia="宋体" w:hAnsi="Arial" w:cs="Arial"/>
                      <w:b/>
                      <w:bCs/>
                      <w:color w:val="185895"/>
                      <w:kern w:val="0"/>
                      <w:sz w:val="28"/>
                      <w:szCs w:val="28"/>
                    </w:rPr>
                    <w:t>《政府会计准则</w:t>
                  </w:r>
                  <w:r w:rsidRPr="00254F99">
                    <w:rPr>
                      <w:rFonts w:ascii="Arial" w:eastAsia="宋体" w:hAnsi="Arial" w:cs="Arial"/>
                      <w:b/>
                      <w:bCs/>
                      <w:color w:val="185895"/>
                      <w:kern w:val="0"/>
                      <w:sz w:val="28"/>
                      <w:szCs w:val="28"/>
                    </w:rPr>
                    <w:t>——</w:t>
                  </w:r>
                  <w:r w:rsidRPr="00254F99">
                    <w:rPr>
                      <w:rFonts w:ascii="Arial" w:eastAsia="宋体" w:hAnsi="Arial" w:cs="Arial"/>
                      <w:b/>
                      <w:bCs/>
                      <w:color w:val="185895"/>
                      <w:kern w:val="0"/>
                      <w:sz w:val="28"/>
                      <w:szCs w:val="28"/>
                    </w:rPr>
                    <w:t>基本准则》</w:t>
                  </w:r>
                  <w:r w:rsidRPr="00254F99">
                    <w:rPr>
                      <w:rFonts w:ascii="Arial" w:eastAsia="宋体" w:hAnsi="Arial" w:cs="Arial"/>
                      <w:b/>
                      <w:bCs/>
                      <w:color w:val="185895"/>
                      <w:kern w:val="0"/>
                      <w:sz w:val="28"/>
                      <w:szCs w:val="28"/>
                    </w:rPr>
                    <w:t xml:space="preserve"> </w:t>
                  </w:r>
                </w:p>
              </w:tc>
            </w:tr>
          </w:tbl>
          <w:p w:rsidR="009472CC" w:rsidRPr="00254F99" w:rsidRDefault="009472CC" w:rsidP="00DB4605">
            <w:pPr>
              <w:widowControl/>
              <w:spacing w:line="360" w:lineRule="auto"/>
              <w:jc w:val="left"/>
              <w:rPr>
                <w:rFonts w:ascii="Arial" w:eastAsia="宋体" w:hAnsi="Arial" w:cs="Arial"/>
                <w:vanish/>
                <w:kern w:val="0"/>
                <w:sz w:val="28"/>
                <w:szCs w:val="28"/>
              </w:rPr>
            </w:pPr>
          </w:p>
          <w:tbl>
            <w:tblPr>
              <w:tblW w:w="5000" w:type="pct"/>
              <w:tblCellSpacing w:w="0" w:type="dxa"/>
              <w:tblCellMar>
                <w:left w:w="0" w:type="dxa"/>
                <w:right w:w="0" w:type="dxa"/>
              </w:tblCellMar>
              <w:tblLook w:val="04A0" w:firstRow="1" w:lastRow="0" w:firstColumn="1" w:lastColumn="0" w:noHBand="0" w:noVBand="1"/>
            </w:tblPr>
            <w:tblGrid>
              <w:gridCol w:w="10998"/>
            </w:tblGrid>
            <w:tr w:rsidR="009472CC" w:rsidRPr="00254F99">
              <w:trPr>
                <w:trHeight w:val="15"/>
                <w:tblCellSpacing w:w="0" w:type="dxa"/>
              </w:trPr>
              <w:tc>
                <w:tcPr>
                  <w:tcW w:w="0" w:type="auto"/>
                  <w:vAlign w:val="center"/>
                  <w:hideMark/>
                </w:tcPr>
                <w:p w:rsidR="009472CC" w:rsidRPr="00254F99" w:rsidRDefault="00141209"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pict>
                      <v:rect id="_x0000_i1025" style="width:525pt;height:.75pt" o:hrpct="0" o:hralign="center" o:hrstd="t" o:hrnoshade="t" o:hr="t" fillcolor="#99c2e2" stroked="f"/>
                    </w:pict>
                  </w:r>
                </w:p>
              </w:tc>
            </w:tr>
          </w:tbl>
          <w:p w:rsidR="009472CC" w:rsidRPr="00254F99" w:rsidRDefault="009472CC" w:rsidP="00DB4605">
            <w:pPr>
              <w:widowControl/>
              <w:spacing w:line="360" w:lineRule="auto"/>
              <w:jc w:val="left"/>
              <w:rPr>
                <w:rFonts w:ascii="Arial" w:eastAsia="宋体" w:hAnsi="Arial" w:cs="Arial"/>
                <w:vanish/>
                <w:kern w:val="0"/>
                <w:sz w:val="28"/>
                <w:szCs w:val="28"/>
              </w:rPr>
            </w:pPr>
          </w:p>
          <w:tbl>
            <w:tblPr>
              <w:tblW w:w="5000" w:type="pct"/>
              <w:tblCellSpacing w:w="0" w:type="dxa"/>
              <w:tblCellMar>
                <w:left w:w="0" w:type="dxa"/>
                <w:right w:w="0" w:type="dxa"/>
              </w:tblCellMar>
              <w:tblLook w:val="04A0" w:firstRow="1" w:lastRow="0" w:firstColumn="1" w:lastColumn="0" w:noHBand="0" w:noVBand="1"/>
            </w:tblPr>
            <w:tblGrid>
              <w:gridCol w:w="10998"/>
            </w:tblGrid>
            <w:tr w:rsidR="009472CC" w:rsidRPr="00254F99">
              <w:trPr>
                <w:tblCellSpacing w:w="0" w:type="dxa"/>
              </w:trPr>
              <w:tc>
                <w:tcPr>
                  <w:tcW w:w="0" w:type="auto"/>
                  <w:vAlign w:val="center"/>
                  <w:hideMark/>
                </w:tcPr>
                <w:p w:rsidR="009472CC" w:rsidRPr="00254F99" w:rsidRDefault="009472CC" w:rsidP="00DB4605">
                  <w:pPr>
                    <w:widowControl/>
                    <w:spacing w:line="360" w:lineRule="auto"/>
                    <w:jc w:val="left"/>
                    <w:rPr>
                      <w:rFonts w:ascii="Arial" w:eastAsia="宋体" w:hAnsi="Arial" w:cs="Arial"/>
                      <w:kern w:val="0"/>
                      <w:sz w:val="28"/>
                      <w:szCs w:val="28"/>
                    </w:rPr>
                  </w:pPr>
                </w:p>
              </w:tc>
            </w:tr>
          </w:tbl>
          <w:p w:rsidR="009472CC" w:rsidRPr="00254F99" w:rsidRDefault="009472CC" w:rsidP="00DB4605">
            <w:pPr>
              <w:widowControl/>
              <w:spacing w:line="360" w:lineRule="auto"/>
              <w:jc w:val="left"/>
              <w:rPr>
                <w:rFonts w:ascii="Arial" w:eastAsia="宋体" w:hAnsi="Arial" w:cs="Arial"/>
                <w:kern w:val="0"/>
                <w:sz w:val="28"/>
                <w:szCs w:val="28"/>
              </w:rPr>
            </w:pPr>
          </w:p>
        </w:tc>
      </w:tr>
      <w:tr w:rsidR="009472CC" w:rsidRPr="00DB4605">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998"/>
            </w:tblGrid>
            <w:tr w:rsidR="009472CC" w:rsidRPr="00DB4605">
              <w:trPr>
                <w:trHeight w:val="1140"/>
                <w:tblCellSpacing w:w="0" w:type="dxa"/>
              </w:trPr>
              <w:tc>
                <w:tcPr>
                  <w:tcW w:w="0" w:type="auto"/>
                  <w:shd w:val="clear" w:color="auto" w:fill="FFFFFF"/>
                  <w:hideMark/>
                </w:tcPr>
                <w:tbl>
                  <w:tblPr>
                    <w:tblW w:w="4319" w:type="pct"/>
                    <w:jc w:val="center"/>
                    <w:tblCellSpacing w:w="0" w:type="dxa"/>
                    <w:tblCellMar>
                      <w:left w:w="0" w:type="dxa"/>
                      <w:right w:w="0" w:type="dxa"/>
                    </w:tblCellMar>
                    <w:tblLook w:val="04A0" w:firstRow="1" w:lastRow="0" w:firstColumn="1" w:lastColumn="0" w:noHBand="0" w:noVBand="1"/>
                  </w:tblPr>
                  <w:tblGrid>
                    <w:gridCol w:w="9500"/>
                  </w:tblGrid>
                  <w:tr w:rsidR="009472CC" w:rsidRPr="00DB4605" w:rsidTr="00E36092">
                    <w:trPr>
                      <w:tblCellSpacing w:w="0" w:type="dxa"/>
                      <w:jc w:val="center"/>
                    </w:trPr>
                    <w:tc>
                      <w:tcPr>
                        <w:tcW w:w="5000" w:type="pct"/>
                        <w:vAlign w:val="center"/>
                        <w:hideMark/>
                      </w:tcPr>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《政府会计准则</w:t>
                        </w:r>
                        <w:r w:rsidRPr="00254F99">
                          <w:rPr>
                            <w:rFonts w:ascii="Arial" w:eastAsia="宋体" w:hAnsi="Arial" w:cs="Arial"/>
                            <w:kern w:val="0"/>
                            <w:sz w:val="28"/>
                            <w:szCs w:val="28"/>
                          </w:rPr>
                          <w:t>——</w:t>
                        </w:r>
                        <w:r w:rsidRPr="00254F99">
                          <w:rPr>
                            <w:rFonts w:ascii="Arial" w:eastAsia="宋体" w:hAnsi="Arial" w:cs="Arial"/>
                            <w:kern w:val="0"/>
                            <w:sz w:val="28"/>
                            <w:szCs w:val="28"/>
                          </w:rPr>
                          <w:t>基本准则》已经财政部部务会议审议通过，现予公布，自</w:t>
                        </w:r>
                        <w:r w:rsidRPr="00254F99">
                          <w:rPr>
                            <w:rFonts w:ascii="Arial" w:eastAsia="宋体" w:hAnsi="Arial" w:cs="Arial"/>
                            <w:kern w:val="0"/>
                            <w:sz w:val="28"/>
                            <w:szCs w:val="28"/>
                          </w:rPr>
                          <w:t>2017</w:t>
                        </w:r>
                        <w:r w:rsidRPr="00254F99">
                          <w:rPr>
                            <w:rFonts w:ascii="Arial" w:eastAsia="宋体" w:hAnsi="Arial" w:cs="Arial"/>
                            <w:kern w:val="0"/>
                            <w:sz w:val="28"/>
                            <w:szCs w:val="28"/>
                          </w:rPr>
                          <w:t>年</w:t>
                        </w:r>
                        <w:r w:rsidRPr="00254F99">
                          <w:rPr>
                            <w:rFonts w:ascii="Arial" w:eastAsia="宋体" w:hAnsi="Arial" w:cs="Arial"/>
                            <w:kern w:val="0"/>
                            <w:sz w:val="28"/>
                            <w:szCs w:val="28"/>
                          </w:rPr>
                          <w:t>1</w:t>
                        </w:r>
                        <w:r w:rsidRPr="00254F99">
                          <w:rPr>
                            <w:rFonts w:ascii="Arial" w:eastAsia="宋体" w:hAnsi="Arial" w:cs="Arial"/>
                            <w:kern w:val="0"/>
                            <w:sz w:val="28"/>
                            <w:szCs w:val="28"/>
                          </w:rPr>
                          <w:t>月</w:t>
                        </w:r>
                        <w:r w:rsidRPr="00254F99">
                          <w:rPr>
                            <w:rFonts w:ascii="Arial" w:eastAsia="宋体" w:hAnsi="Arial" w:cs="Arial"/>
                            <w:kern w:val="0"/>
                            <w:sz w:val="28"/>
                            <w:szCs w:val="28"/>
                          </w:rPr>
                          <w:t>1</w:t>
                        </w:r>
                        <w:r w:rsidRPr="00254F99">
                          <w:rPr>
                            <w:rFonts w:ascii="Arial" w:eastAsia="宋体" w:hAnsi="Arial" w:cs="Arial"/>
                            <w:kern w:val="0"/>
                            <w:sz w:val="28"/>
                            <w:szCs w:val="28"/>
                          </w:rPr>
                          <w:t>日起施行。</w:t>
                        </w:r>
                      </w:p>
                      <w:p w:rsidR="009472CC" w:rsidRPr="00254F99" w:rsidRDefault="009472CC" w:rsidP="00DB4605">
                        <w:pPr>
                          <w:widowControl/>
                          <w:spacing w:line="360" w:lineRule="auto"/>
                          <w:jc w:val="right"/>
                          <w:rPr>
                            <w:rFonts w:ascii="Arial" w:eastAsia="宋体" w:hAnsi="Arial" w:cs="Arial"/>
                            <w:kern w:val="0"/>
                            <w:sz w:val="28"/>
                            <w:szCs w:val="28"/>
                          </w:rPr>
                        </w:pPr>
                        <w:r w:rsidRPr="00254F99">
                          <w:rPr>
                            <w:rFonts w:ascii="Arial" w:eastAsia="宋体" w:hAnsi="Arial" w:cs="Arial"/>
                            <w:kern w:val="0"/>
                            <w:sz w:val="28"/>
                            <w:szCs w:val="28"/>
                          </w:rPr>
                          <w:t xml:space="preserve">　　</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部长：楼继伟</w:t>
                        </w:r>
                      </w:p>
                      <w:p w:rsidR="009472CC" w:rsidRPr="00254F99" w:rsidRDefault="009472CC" w:rsidP="00DB4605">
                        <w:pPr>
                          <w:widowControl/>
                          <w:spacing w:line="360" w:lineRule="auto"/>
                          <w:jc w:val="right"/>
                          <w:rPr>
                            <w:rFonts w:ascii="Arial" w:eastAsia="宋体" w:hAnsi="Arial" w:cs="Arial"/>
                            <w:kern w:val="0"/>
                            <w:sz w:val="28"/>
                            <w:szCs w:val="28"/>
                          </w:rPr>
                        </w:pPr>
                        <w:r w:rsidRPr="00254F99">
                          <w:rPr>
                            <w:rFonts w:ascii="Arial" w:eastAsia="宋体" w:hAnsi="Arial" w:cs="Arial"/>
                            <w:kern w:val="0"/>
                            <w:sz w:val="28"/>
                            <w:szCs w:val="28"/>
                          </w:rPr>
                          <w:t xml:space="preserve">　　</w:t>
                        </w:r>
                        <w:r w:rsidRPr="00254F99">
                          <w:rPr>
                            <w:rFonts w:ascii="Arial" w:eastAsia="宋体" w:hAnsi="Arial" w:cs="Arial"/>
                            <w:kern w:val="0"/>
                            <w:sz w:val="28"/>
                            <w:szCs w:val="28"/>
                          </w:rPr>
                          <w:t>2015</w:t>
                        </w:r>
                        <w:r w:rsidRPr="00254F99">
                          <w:rPr>
                            <w:rFonts w:ascii="Arial" w:eastAsia="宋体" w:hAnsi="Arial" w:cs="Arial"/>
                            <w:kern w:val="0"/>
                            <w:sz w:val="28"/>
                            <w:szCs w:val="28"/>
                          </w:rPr>
                          <w:t>年</w:t>
                        </w:r>
                        <w:r w:rsidRPr="00254F99">
                          <w:rPr>
                            <w:rFonts w:ascii="Arial" w:eastAsia="宋体" w:hAnsi="Arial" w:cs="Arial"/>
                            <w:kern w:val="0"/>
                            <w:sz w:val="28"/>
                            <w:szCs w:val="28"/>
                          </w:rPr>
                          <w:t>10</w:t>
                        </w:r>
                        <w:r w:rsidRPr="00254F99">
                          <w:rPr>
                            <w:rFonts w:ascii="Arial" w:eastAsia="宋体" w:hAnsi="Arial" w:cs="Arial"/>
                            <w:kern w:val="0"/>
                            <w:sz w:val="28"/>
                            <w:szCs w:val="28"/>
                          </w:rPr>
                          <w:t>月</w:t>
                        </w:r>
                        <w:r w:rsidRPr="00254F99">
                          <w:rPr>
                            <w:rFonts w:ascii="Arial" w:eastAsia="宋体" w:hAnsi="Arial" w:cs="Arial"/>
                            <w:kern w:val="0"/>
                            <w:sz w:val="28"/>
                            <w:szCs w:val="28"/>
                          </w:rPr>
                          <w:t>23</w:t>
                        </w:r>
                        <w:r w:rsidRPr="00254F99">
                          <w:rPr>
                            <w:rFonts w:ascii="Arial" w:eastAsia="宋体" w:hAnsi="Arial" w:cs="Arial"/>
                            <w:kern w:val="0"/>
                            <w:sz w:val="28"/>
                            <w:szCs w:val="28"/>
                          </w:rPr>
                          <w:t>日</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w:t>
                        </w:r>
                        <w:r w:rsidRPr="00254F99">
                          <w:rPr>
                            <w:rFonts w:ascii="Arial" w:eastAsia="宋体" w:hAnsi="Arial" w:cs="Arial"/>
                            <w:kern w:val="0"/>
                            <w:sz w:val="28"/>
                            <w:szCs w:val="28"/>
                          </w:rPr>
                          <w:t xml:space="preserve"> </w:t>
                        </w:r>
                      </w:p>
                      <w:p w:rsidR="009472CC" w:rsidRPr="00254F99" w:rsidRDefault="009472CC" w:rsidP="00DB4605">
                        <w:pPr>
                          <w:widowControl/>
                          <w:spacing w:line="360" w:lineRule="auto"/>
                          <w:jc w:val="center"/>
                          <w:rPr>
                            <w:rFonts w:ascii="Arial" w:eastAsia="宋体" w:hAnsi="Arial" w:cs="Arial"/>
                            <w:kern w:val="0"/>
                            <w:sz w:val="28"/>
                            <w:szCs w:val="28"/>
                          </w:rPr>
                        </w:pPr>
                        <w:r w:rsidRPr="00254F99">
                          <w:rPr>
                            <w:rFonts w:ascii="Arial" w:eastAsia="宋体" w:hAnsi="Arial" w:cs="Arial"/>
                            <w:kern w:val="0"/>
                            <w:sz w:val="28"/>
                            <w:szCs w:val="28"/>
                          </w:rPr>
                          <w:t xml:space="preserve">　　</w:t>
                        </w:r>
                        <w:r w:rsidRPr="00254F99">
                          <w:rPr>
                            <w:rFonts w:ascii="Arial" w:eastAsia="宋体" w:hAnsi="Arial" w:cs="Arial"/>
                            <w:kern w:val="0"/>
                            <w:sz w:val="28"/>
                            <w:szCs w:val="28"/>
                          </w:rPr>
                          <w:t> </w:t>
                        </w:r>
                        <w:r w:rsidRPr="00254F99">
                          <w:rPr>
                            <w:rFonts w:ascii="Arial" w:eastAsia="宋体" w:hAnsi="Arial" w:cs="Arial"/>
                            <w:b/>
                            <w:bCs/>
                            <w:kern w:val="0"/>
                            <w:sz w:val="28"/>
                            <w:szCs w:val="28"/>
                          </w:rPr>
                          <w:t>政府会计准则</w:t>
                        </w:r>
                        <w:r w:rsidRPr="00254F99">
                          <w:rPr>
                            <w:rFonts w:ascii="Arial" w:eastAsia="宋体" w:hAnsi="Arial" w:cs="Arial"/>
                            <w:b/>
                            <w:bCs/>
                            <w:kern w:val="0"/>
                            <w:sz w:val="28"/>
                            <w:szCs w:val="28"/>
                          </w:rPr>
                          <w:t>——</w:t>
                        </w:r>
                        <w:r w:rsidRPr="00254F99">
                          <w:rPr>
                            <w:rFonts w:ascii="Arial" w:eastAsia="宋体" w:hAnsi="Arial" w:cs="Arial"/>
                            <w:b/>
                            <w:bCs/>
                            <w:kern w:val="0"/>
                            <w:sz w:val="28"/>
                            <w:szCs w:val="28"/>
                          </w:rPr>
                          <w:t>基本准则</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w:t>
                        </w:r>
                        <w:r w:rsidRPr="00254F99">
                          <w:rPr>
                            <w:rFonts w:ascii="Arial" w:eastAsia="宋体" w:hAnsi="Arial" w:cs="Arial"/>
                            <w:kern w:val="0"/>
                            <w:sz w:val="28"/>
                            <w:szCs w:val="28"/>
                          </w:rPr>
                          <w:t xml:space="preserve">                      </w:t>
                        </w:r>
                      </w:p>
                      <w:p w:rsidR="009472CC" w:rsidRPr="00254F99" w:rsidRDefault="009472CC" w:rsidP="00DB4605">
                        <w:pPr>
                          <w:widowControl/>
                          <w:spacing w:line="360" w:lineRule="auto"/>
                          <w:jc w:val="center"/>
                          <w:rPr>
                            <w:rFonts w:ascii="Arial" w:eastAsia="宋体" w:hAnsi="Arial" w:cs="Arial"/>
                            <w:kern w:val="0"/>
                            <w:sz w:val="28"/>
                            <w:szCs w:val="28"/>
                          </w:rPr>
                        </w:pPr>
                        <w:r w:rsidRPr="00254F99">
                          <w:rPr>
                            <w:rFonts w:ascii="Arial" w:eastAsia="宋体" w:hAnsi="Arial" w:cs="Arial"/>
                            <w:kern w:val="0"/>
                            <w:sz w:val="28"/>
                            <w:szCs w:val="28"/>
                          </w:rPr>
                          <w:t xml:space="preserve">　　第一章　总</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则</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第一条　为了规范政府的会计核算，保证会计信息质量，根据《中华人民共和国会计法》、《中华人民共和国预算法》和其他有关法律、行政法规，制定本准则。</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第二条</w:t>
                        </w:r>
                        <w:r w:rsidRPr="00254F99">
                          <w:rPr>
                            <w:rFonts w:ascii="Arial" w:eastAsia="宋体" w:hAnsi="Arial" w:cs="Arial"/>
                            <w:kern w:val="0"/>
                            <w:sz w:val="28"/>
                            <w:szCs w:val="28"/>
                          </w:rPr>
                          <w:t> </w:t>
                        </w:r>
                        <w:r w:rsidRPr="00254F99">
                          <w:rPr>
                            <w:rFonts w:ascii="Arial" w:eastAsia="宋体" w:hAnsi="Arial" w:cs="Arial"/>
                            <w:kern w:val="0"/>
                            <w:sz w:val="28"/>
                            <w:szCs w:val="28"/>
                          </w:rPr>
                          <w:t>本准则适用于各级政府、各部门、各单位（以下统称政府会计主体）。</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前款所称各部门、各单位是指与本级政府财政部门直接或者间接发生预算拨款关系的国家机关、军队、政党组织、社会团体、事业单位和其他单位。</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军队、已纳入企业财务管理体系的单位和执行《民间非营利组织会计制度》的社会团体，不适用本准则。</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第三条　政府会计由预算会计和财务会计构成。</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预算会计实行收付实现制，国务院另有规定的，依照其规定。</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财务会计实行权责发生制。</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第四条</w:t>
                        </w:r>
                        <w:r w:rsidRPr="00254F99">
                          <w:rPr>
                            <w:rFonts w:ascii="Arial" w:eastAsia="宋体" w:hAnsi="Arial" w:cs="Arial"/>
                            <w:kern w:val="0"/>
                            <w:sz w:val="28"/>
                            <w:szCs w:val="28"/>
                          </w:rPr>
                          <w:t> </w:t>
                        </w:r>
                        <w:r w:rsidRPr="00254F99">
                          <w:rPr>
                            <w:rFonts w:ascii="Arial" w:eastAsia="宋体" w:hAnsi="Arial" w:cs="Arial"/>
                            <w:kern w:val="0"/>
                            <w:sz w:val="28"/>
                            <w:szCs w:val="28"/>
                          </w:rPr>
                          <w:t>政府会计具体准则及其应用指南、政府会计制度等，应当由财政部遵循本准则制定。</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lastRenderedPageBreak/>
                          <w:t xml:space="preserve">　　第五条　政府会计主体应当编制决算报告和财务报告。</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决算报告的目标是向决算报告使用者提供与政府预算执行情况有关的信息，综合反映政府会计主体预算收支的年度执行结果，有助于决算报告使用者进行监督和管理，并为编制后续年度预算提供参考和依据。政府决算报告使用者包括各级人民代表大会及其常务委员会、各级政府及其有关部门、政府会计主体自身、社会公众和其他利益相关者。</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财务报告的目标是向财务报告使用者提供与政府的财务状况、运行情况（含运行成本，下同）和现金流量等有关信息，反映政府会计主体公共受托责任履行情况，有助于财务报告使用者作出决策或者进行监督和管理。政府财务报告使用者包括各级人民代表大会常务委员会、债权人、各级政府及其有关部门、政府会计主体自身和其他利益相关者。</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第六条　政府会计主体应当对其自身发生的经济业务或者事项进行会计核算。</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第七条　政府会计核算应当以政府会计主体持续运行为前提。</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第八条　政府会计核算应当划分会计期间，分期结算账目，按规定编制决算报告和</w:t>
                        </w:r>
                        <w:r w:rsidR="007A3B69" w:rsidRPr="00254F99">
                          <w:rPr>
                            <w:rFonts w:ascii="Arial" w:eastAsia="宋体" w:hAnsi="Arial" w:cs="Arial" w:hint="eastAsia"/>
                            <w:kern w:val="0"/>
                            <w:sz w:val="28"/>
                            <w:szCs w:val="28"/>
                          </w:rPr>
                          <w:t xml:space="preserve"> </w:t>
                        </w:r>
                        <w:r w:rsidRPr="00254F99">
                          <w:rPr>
                            <w:rFonts w:ascii="Arial" w:eastAsia="宋体" w:hAnsi="Arial" w:cs="Arial"/>
                            <w:kern w:val="0"/>
                            <w:sz w:val="28"/>
                            <w:szCs w:val="28"/>
                          </w:rPr>
                          <w:t>财务报告。</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会计期间至少分为年度和月度。会计年度、月度等会计期间的起讫日期采用公历日期。</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第九条　政府会计核算应当以人民币作为记账本位币。发生外币业务时，应当将有关外币金额折算为人民币金额计量，同时登记外币金额。</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第十条　政府会计核算应当采用借贷记账法记账。</w:t>
                        </w:r>
                      </w:p>
                      <w:p w:rsidR="009472CC" w:rsidRPr="00254F99" w:rsidRDefault="009472CC" w:rsidP="00DB4605">
                        <w:pPr>
                          <w:widowControl/>
                          <w:spacing w:line="360" w:lineRule="auto"/>
                          <w:jc w:val="center"/>
                          <w:rPr>
                            <w:rFonts w:ascii="Arial" w:eastAsia="宋体" w:hAnsi="Arial" w:cs="Arial"/>
                            <w:kern w:val="0"/>
                            <w:sz w:val="28"/>
                            <w:szCs w:val="28"/>
                          </w:rPr>
                        </w:pPr>
                        <w:r w:rsidRPr="00254F99">
                          <w:rPr>
                            <w:rFonts w:ascii="Arial" w:eastAsia="宋体" w:hAnsi="Arial" w:cs="Arial"/>
                            <w:kern w:val="0"/>
                            <w:sz w:val="28"/>
                            <w:szCs w:val="28"/>
                          </w:rPr>
                          <w:t xml:space="preserve">　　第二章　政府会计信息质量要求</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第十一条　政府会计主体应当以实际发生的经济业务或者事项为依据进</w:t>
                        </w:r>
                        <w:r w:rsidRPr="00254F99">
                          <w:rPr>
                            <w:rFonts w:ascii="Arial" w:eastAsia="宋体" w:hAnsi="Arial" w:cs="Arial"/>
                            <w:kern w:val="0"/>
                            <w:sz w:val="28"/>
                            <w:szCs w:val="28"/>
                          </w:rPr>
                          <w:lastRenderedPageBreak/>
                          <w:t>行会计核算，如实反映各项会计要素的情况和结果，保证会计信息真实可靠。</w:t>
                        </w:r>
                        <w:r w:rsidR="00D745AB" w:rsidRPr="00254F99">
                          <w:rPr>
                            <w:rFonts w:ascii="Arial" w:eastAsia="宋体" w:hAnsi="Arial" w:cs="Arial" w:hint="eastAsia"/>
                            <w:kern w:val="0"/>
                            <w:sz w:val="28"/>
                            <w:szCs w:val="28"/>
                          </w:rPr>
                          <w:t>（可靠性）</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第十二条</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政府会计主体应当将发生的各项经济业务或者事项统一纳入会计核算，确保会计信息能够全面反映政府会计主体预算执行情况和财务状况、运行情况、现金流量等。</w:t>
                        </w:r>
                        <w:r w:rsidR="00D745AB" w:rsidRPr="00254F99">
                          <w:rPr>
                            <w:rFonts w:ascii="Arial" w:eastAsia="宋体" w:hAnsi="Arial" w:cs="Arial" w:hint="eastAsia"/>
                            <w:kern w:val="0"/>
                            <w:sz w:val="28"/>
                            <w:szCs w:val="28"/>
                          </w:rPr>
                          <w:t>（全面性）</w:t>
                        </w:r>
                      </w:p>
                      <w:p w:rsidR="009472CC" w:rsidRPr="00254F99" w:rsidRDefault="009472CC" w:rsidP="00DB4605">
                        <w:pPr>
                          <w:widowControl/>
                          <w:snapToGrid w:val="0"/>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第十三条　政府会计主体提供的会计信息，应当与反映政府会计主体公共受托责任履行情况以及报告使用者决策或者监督、管理的需要相关，有助于报告使用者对政府会计主体过去、现在或者未来的情况作出评价或者预测。</w:t>
                        </w:r>
                        <w:r w:rsidR="00D745AB" w:rsidRPr="00254F99">
                          <w:rPr>
                            <w:rFonts w:ascii="Arial" w:eastAsia="宋体" w:hAnsi="Arial" w:cs="Arial" w:hint="eastAsia"/>
                            <w:kern w:val="0"/>
                            <w:sz w:val="28"/>
                            <w:szCs w:val="28"/>
                          </w:rPr>
                          <w:t>（相关性）</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第十四条</w:t>
                        </w:r>
                        <w:r w:rsidRPr="00254F99">
                          <w:rPr>
                            <w:rFonts w:ascii="Arial" w:eastAsia="宋体" w:hAnsi="Arial" w:cs="Arial"/>
                            <w:kern w:val="0"/>
                            <w:sz w:val="28"/>
                            <w:szCs w:val="28"/>
                          </w:rPr>
                          <w:t> </w:t>
                        </w:r>
                        <w:r w:rsidRPr="00254F99">
                          <w:rPr>
                            <w:rFonts w:ascii="Arial" w:eastAsia="宋体" w:hAnsi="Arial" w:cs="Arial"/>
                            <w:kern w:val="0"/>
                            <w:sz w:val="28"/>
                            <w:szCs w:val="28"/>
                          </w:rPr>
                          <w:t>政府会计主体对已经发生的经济业务或者事项，应当及时进行会计核算，不得提前或者延后。</w:t>
                        </w:r>
                        <w:r w:rsidR="00D745AB" w:rsidRPr="00254F99">
                          <w:rPr>
                            <w:rFonts w:ascii="Arial" w:eastAsia="宋体" w:hAnsi="Arial" w:cs="Arial" w:hint="eastAsia"/>
                            <w:kern w:val="0"/>
                            <w:sz w:val="28"/>
                            <w:szCs w:val="28"/>
                          </w:rPr>
                          <w:t>（及时性）</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第十五条</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政府会计主体提供的会计信息应当具有可比性。</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同一政府会计主体不同时期发生的相同或者相似的经济业务或者事项，应当采用一致的会计政策，不得随意变更。确需变更的，应当将变更的内容、理由及其影响在附注中予以说明。</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不同政府会计主体发生的相同或者相似的经济业务或者事项，应当采用一致的会计政策，确保政府会计信息口径一致，相互可比。</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第十六条　政府会计主体提供的会计信息应当清晰明了，便于报告使用者理解和使用。</w:t>
                        </w:r>
                        <w:r w:rsidR="00D745AB" w:rsidRPr="00254F99">
                          <w:rPr>
                            <w:rFonts w:ascii="Arial" w:eastAsia="宋体" w:hAnsi="Arial" w:cs="Arial" w:hint="eastAsia"/>
                            <w:kern w:val="0"/>
                            <w:sz w:val="28"/>
                            <w:szCs w:val="28"/>
                          </w:rPr>
                          <w:t>（可理解性）</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第十七条</w:t>
                        </w:r>
                        <w:r w:rsidRPr="00254F99">
                          <w:rPr>
                            <w:rFonts w:ascii="Arial" w:eastAsia="宋体" w:hAnsi="Arial" w:cs="Arial"/>
                            <w:kern w:val="0"/>
                            <w:sz w:val="28"/>
                            <w:szCs w:val="28"/>
                          </w:rPr>
                          <w:t> </w:t>
                        </w:r>
                        <w:r w:rsidRPr="00254F99">
                          <w:rPr>
                            <w:rFonts w:ascii="Arial" w:eastAsia="宋体" w:hAnsi="Arial" w:cs="Arial"/>
                            <w:kern w:val="0"/>
                            <w:sz w:val="28"/>
                            <w:szCs w:val="28"/>
                          </w:rPr>
                          <w:t>政府会计主体应当按照经济业务或者事项的经济实质进行会计核算，不限于以经济业务或者事项的法律形式为依据。</w:t>
                        </w:r>
                        <w:r w:rsidR="00D745AB" w:rsidRPr="00254F99">
                          <w:rPr>
                            <w:rFonts w:ascii="Arial" w:eastAsia="宋体" w:hAnsi="Arial" w:cs="Arial" w:hint="eastAsia"/>
                            <w:kern w:val="0"/>
                            <w:sz w:val="28"/>
                            <w:szCs w:val="28"/>
                          </w:rPr>
                          <w:t>（</w:t>
                        </w:r>
                        <w:r w:rsidR="00D745AB" w:rsidRPr="00254F99">
                          <w:rPr>
                            <w:rFonts w:ascii="宋体" w:eastAsia="宋体" w:hAnsi="宋体" w:cs="宋体" w:hint="eastAsia"/>
                            <w:kern w:val="0"/>
                            <w:sz w:val="28"/>
                            <w:szCs w:val="28"/>
                          </w:rPr>
                          <w:t>实质重于形式）</w:t>
                        </w:r>
                      </w:p>
                      <w:p w:rsidR="009472CC" w:rsidRPr="00254F99" w:rsidRDefault="009472CC" w:rsidP="00DB4605">
                        <w:pPr>
                          <w:widowControl/>
                          <w:spacing w:line="360" w:lineRule="auto"/>
                          <w:jc w:val="center"/>
                          <w:rPr>
                            <w:rFonts w:ascii="Arial" w:eastAsia="宋体" w:hAnsi="Arial" w:cs="Arial"/>
                            <w:kern w:val="0"/>
                            <w:sz w:val="28"/>
                            <w:szCs w:val="28"/>
                          </w:rPr>
                        </w:pPr>
                        <w:r w:rsidRPr="00254F99">
                          <w:rPr>
                            <w:rFonts w:ascii="Arial" w:eastAsia="宋体" w:hAnsi="Arial" w:cs="Arial"/>
                            <w:kern w:val="0"/>
                            <w:sz w:val="28"/>
                            <w:szCs w:val="28"/>
                          </w:rPr>
                          <w:t xml:space="preserve">　　第三章　政府预算会计要素</w:t>
                        </w:r>
                        <w:r w:rsidR="00DE407A" w:rsidRPr="00254F99">
                          <w:rPr>
                            <w:rFonts w:ascii="Arial" w:eastAsia="宋体" w:hAnsi="Arial" w:cs="Arial" w:hint="eastAsia"/>
                            <w:kern w:val="0"/>
                            <w:sz w:val="28"/>
                            <w:szCs w:val="28"/>
                          </w:rPr>
                          <w:t>（两套）</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第十八条　政府预算会计要素包括预算收入、预算支出与预算结余。</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第十九条</w:t>
                        </w:r>
                        <w:r w:rsidRPr="00254F99">
                          <w:rPr>
                            <w:rFonts w:ascii="Arial" w:eastAsia="宋体" w:hAnsi="Arial" w:cs="Arial"/>
                            <w:kern w:val="0"/>
                            <w:sz w:val="28"/>
                            <w:szCs w:val="28"/>
                          </w:rPr>
                          <w:t> </w:t>
                        </w:r>
                        <w:r w:rsidRPr="00254F99">
                          <w:rPr>
                            <w:rFonts w:ascii="Arial" w:eastAsia="宋体" w:hAnsi="Arial" w:cs="Arial"/>
                            <w:kern w:val="0"/>
                            <w:sz w:val="28"/>
                            <w:szCs w:val="28"/>
                          </w:rPr>
                          <w:t>预算收入是指政府会计主体在预算年度内依法取得的并纳入预</w:t>
                        </w:r>
                        <w:r w:rsidRPr="00254F99">
                          <w:rPr>
                            <w:rFonts w:ascii="Arial" w:eastAsia="宋体" w:hAnsi="Arial" w:cs="Arial"/>
                            <w:kern w:val="0"/>
                            <w:sz w:val="28"/>
                            <w:szCs w:val="28"/>
                          </w:rPr>
                          <w:lastRenderedPageBreak/>
                          <w:t>算管理的现金流入。</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第二十条</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预算收入一般在实际收到时予以确认，以实际收到的金额计量。</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第二十一条　预算支出是指政府会计主体在预算年度内依法发生并纳入预算管理的现金流出。</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第二十二条</w:t>
                        </w:r>
                        <w:r w:rsidRPr="00254F99">
                          <w:rPr>
                            <w:rFonts w:ascii="Arial" w:eastAsia="宋体" w:hAnsi="Arial" w:cs="Arial"/>
                            <w:kern w:val="0"/>
                            <w:sz w:val="28"/>
                            <w:szCs w:val="28"/>
                          </w:rPr>
                          <w:t> </w:t>
                        </w:r>
                        <w:r w:rsidRPr="00254F99">
                          <w:rPr>
                            <w:rFonts w:ascii="Arial" w:eastAsia="宋体" w:hAnsi="Arial" w:cs="Arial"/>
                            <w:kern w:val="0"/>
                            <w:sz w:val="28"/>
                            <w:szCs w:val="28"/>
                          </w:rPr>
                          <w:t>预算支出一般在实际支付时予以确认，以实际支付的金额计量。</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第二十三条</w:t>
                        </w:r>
                        <w:r w:rsidRPr="00254F99">
                          <w:rPr>
                            <w:rFonts w:ascii="Arial" w:eastAsia="宋体" w:hAnsi="Arial" w:cs="Arial"/>
                            <w:kern w:val="0"/>
                            <w:sz w:val="28"/>
                            <w:szCs w:val="28"/>
                          </w:rPr>
                          <w:t> </w:t>
                        </w:r>
                        <w:r w:rsidRPr="00254F99">
                          <w:rPr>
                            <w:rFonts w:ascii="Arial" w:eastAsia="宋体" w:hAnsi="Arial" w:cs="Arial"/>
                            <w:kern w:val="0"/>
                            <w:sz w:val="28"/>
                            <w:szCs w:val="28"/>
                          </w:rPr>
                          <w:t>预算结余是指政府会计主体预算年度内预算收入扣除预算支出后的资金余额，以及历年滚存的资金余额。</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第二十四条</w:t>
                        </w:r>
                        <w:r w:rsidRPr="00254F99">
                          <w:rPr>
                            <w:rFonts w:ascii="Arial" w:eastAsia="宋体" w:hAnsi="Arial" w:cs="Arial"/>
                            <w:kern w:val="0"/>
                            <w:sz w:val="28"/>
                            <w:szCs w:val="28"/>
                          </w:rPr>
                          <w:t> </w:t>
                        </w:r>
                        <w:r w:rsidRPr="00254F99">
                          <w:rPr>
                            <w:rFonts w:ascii="Arial" w:eastAsia="宋体" w:hAnsi="Arial" w:cs="Arial"/>
                            <w:kern w:val="0"/>
                            <w:sz w:val="28"/>
                            <w:szCs w:val="28"/>
                          </w:rPr>
                          <w:t>预算结余包括结余资金和结转资金。</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结余资金是指年度预算执行终了，预算收入实际完成数扣除预算支出和结转资金后剩余的资金。</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结转资金是指预算安排项目的支出年终尚未执行完毕或者因故未执行，且下年需要按原用途继续使用的资金。</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第二十五条</w:t>
                        </w:r>
                        <w:r w:rsidRPr="00254F99">
                          <w:rPr>
                            <w:rFonts w:ascii="Arial" w:eastAsia="宋体" w:hAnsi="Arial" w:cs="Arial"/>
                            <w:kern w:val="0"/>
                            <w:sz w:val="28"/>
                            <w:szCs w:val="28"/>
                          </w:rPr>
                          <w:t> </w:t>
                        </w:r>
                        <w:r w:rsidRPr="00254F99">
                          <w:rPr>
                            <w:rFonts w:ascii="Arial" w:eastAsia="宋体" w:hAnsi="Arial" w:cs="Arial"/>
                            <w:kern w:val="0"/>
                            <w:sz w:val="28"/>
                            <w:szCs w:val="28"/>
                          </w:rPr>
                          <w:t>符合预算收入、预算支出和预算结余定义及其确认条件的项目应当列入政府决算报表。</w:t>
                        </w:r>
                      </w:p>
                      <w:p w:rsidR="009472CC" w:rsidRPr="00254F99" w:rsidRDefault="009472CC" w:rsidP="00DB4605">
                        <w:pPr>
                          <w:widowControl/>
                          <w:spacing w:line="360" w:lineRule="auto"/>
                          <w:jc w:val="center"/>
                          <w:rPr>
                            <w:rFonts w:ascii="Arial" w:eastAsia="宋体" w:hAnsi="Arial" w:cs="Arial"/>
                            <w:kern w:val="0"/>
                            <w:sz w:val="28"/>
                            <w:szCs w:val="28"/>
                          </w:rPr>
                        </w:pPr>
                        <w:r w:rsidRPr="00254F99">
                          <w:rPr>
                            <w:rFonts w:ascii="Arial" w:eastAsia="宋体" w:hAnsi="Arial" w:cs="Arial"/>
                            <w:kern w:val="0"/>
                            <w:sz w:val="28"/>
                            <w:szCs w:val="28"/>
                          </w:rPr>
                          <w:t xml:space="preserve">　　第四章</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政府财务会计要素</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第二十六条　政府财务会计要素包括资产、负债、净资产、收入和费用。</w:t>
                        </w:r>
                      </w:p>
                      <w:p w:rsidR="009472CC" w:rsidRPr="00254F99" w:rsidRDefault="009472CC" w:rsidP="00DB4605">
                        <w:pPr>
                          <w:widowControl/>
                          <w:spacing w:line="360" w:lineRule="auto"/>
                          <w:jc w:val="center"/>
                          <w:rPr>
                            <w:rFonts w:ascii="Arial" w:eastAsia="宋体" w:hAnsi="Arial" w:cs="Arial"/>
                            <w:kern w:val="0"/>
                            <w:sz w:val="28"/>
                            <w:szCs w:val="28"/>
                          </w:rPr>
                        </w:pPr>
                        <w:r w:rsidRPr="00254F99">
                          <w:rPr>
                            <w:rFonts w:ascii="Arial" w:eastAsia="宋体" w:hAnsi="Arial" w:cs="Arial"/>
                            <w:kern w:val="0"/>
                            <w:sz w:val="28"/>
                            <w:szCs w:val="28"/>
                          </w:rPr>
                          <w:t xml:space="preserve">　　第一节</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资</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产</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第二十七条</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资产是指政府会计主体过去的经济业务或者事项形成的，由政府会计主体控制的，预期能够产生服务潜力或者带来经济利益流入的经济资源。</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服务潜力是指政府会计主体利用资产提供公共产品和服务以履行政府职能的潜在能力。</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lastRenderedPageBreak/>
                          <w:t xml:space="preserve">　　经济利益流入表现为现金及现金等价物的流入，或者现金及现金等价物流出的减少。</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第二十八条</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政府会计主体的资产按照流动性，分为流动资产和非流动资产。</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流动资产是指预计在</w:t>
                        </w:r>
                        <w:r w:rsidRPr="00254F99">
                          <w:rPr>
                            <w:rFonts w:ascii="Arial" w:eastAsia="宋体" w:hAnsi="Arial" w:cs="Arial"/>
                            <w:kern w:val="0"/>
                            <w:sz w:val="28"/>
                            <w:szCs w:val="28"/>
                          </w:rPr>
                          <w:t>1</w:t>
                        </w:r>
                        <w:r w:rsidRPr="00254F99">
                          <w:rPr>
                            <w:rFonts w:ascii="Arial" w:eastAsia="宋体" w:hAnsi="Arial" w:cs="Arial"/>
                            <w:kern w:val="0"/>
                            <w:sz w:val="28"/>
                            <w:szCs w:val="28"/>
                          </w:rPr>
                          <w:t>年内（含</w:t>
                        </w:r>
                        <w:r w:rsidRPr="00254F99">
                          <w:rPr>
                            <w:rFonts w:ascii="Arial" w:eastAsia="宋体" w:hAnsi="Arial" w:cs="Arial"/>
                            <w:kern w:val="0"/>
                            <w:sz w:val="28"/>
                            <w:szCs w:val="28"/>
                          </w:rPr>
                          <w:t>1</w:t>
                        </w:r>
                        <w:r w:rsidRPr="00254F99">
                          <w:rPr>
                            <w:rFonts w:ascii="Arial" w:eastAsia="宋体" w:hAnsi="Arial" w:cs="Arial"/>
                            <w:kern w:val="0"/>
                            <w:sz w:val="28"/>
                            <w:szCs w:val="28"/>
                          </w:rPr>
                          <w:t>年）耗用或者可以变现的资产，包括货币资金、短期投资、应收及预付款项、存货等。</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非流动资产是指流动资产以外的资产，包括固定资产、在建工程、无形资产、长期投资、公共基础设施、政府储备资产、文物文化资产、保障性住房和自然资源资产等。</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第二十九条　符合本准则第二十七条规定的资产定义的经济资源，在同时满足以下条件时，确认为资产：</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（一）与该经济资源相关的服务潜力很可能实现或者经济利益很可能流入政府会计主体；</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（二）该经济资源的成本或者价值能够可靠地计量。</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第三十条　资产的计量属性主要包括历史成本、重置成本、现值、公允价值和名义金额。</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在历史成本计量下，资产按照取得时支付的现金金额或者支付对价的公允价值计量。</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在重置成本计量下，资产按照现在购买相同或者相似资产所需支付的现金金额计量。</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在现值计量下，资产按照预计从其持续使用和最终处置中所产生的未来净现金流入量的折现金额计量。</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在公允价值计量下，资产按照市场参与者在计量日发生的有序交易中，出</w:t>
                        </w:r>
                        <w:r w:rsidRPr="00254F99">
                          <w:rPr>
                            <w:rFonts w:ascii="Arial" w:eastAsia="宋体" w:hAnsi="Arial" w:cs="Arial"/>
                            <w:kern w:val="0"/>
                            <w:sz w:val="28"/>
                            <w:szCs w:val="28"/>
                          </w:rPr>
                          <w:lastRenderedPageBreak/>
                          <w:t>售资产所能收到的价格计量。</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无法采用上述计量属性的，采用名义金额（即人民币</w:t>
                        </w:r>
                        <w:r w:rsidRPr="00254F99">
                          <w:rPr>
                            <w:rFonts w:ascii="Arial" w:eastAsia="宋体" w:hAnsi="Arial" w:cs="Arial"/>
                            <w:kern w:val="0"/>
                            <w:sz w:val="28"/>
                            <w:szCs w:val="28"/>
                          </w:rPr>
                          <w:t>1</w:t>
                        </w:r>
                        <w:r w:rsidRPr="00254F99">
                          <w:rPr>
                            <w:rFonts w:ascii="Arial" w:eastAsia="宋体" w:hAnsi="Arial" w:cs="Arial"/>
                            <w:kern w:val="0"/>
                            <w:sz w:val="28"/>
                            <w:szCs w:val="28"/>
                          </w:rPr>
                          <w:t>元）计量。</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第三十一条</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政府会计主体在对资产进行计量时，一般应当采用历史成本。</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采用重置成本、现值、公允价值计量的，应当保证所确定的资产金额能够持续、可靠计量。</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第三十二条</w:t>
                        </w:r>
                        <w:r w:rsidRPr="00254F99">
                          <w:rPr>
                            <w:rFonts w:ascii="Arial" w:eastAsia="宋体" w:hAnsi="Arial" w:cs="Arial"/>
                            <w:kern w:val="0"/>
                            <w:sz w:val="28"/>
                            <w:szCs w:val="28"/>
                          </w:rPr>
                          <w:t> </w:t>
                        </w:r>
                        <w:r w:rsidRPr="00254F99">
                          <w:rPr>
                            <w:rFonts w:ascii="Arial" w:eastAsia="宋体" w:hAnsi="Arial" w:cs="Arial"/>
                            <w:kern w:val="0"/>
                            <w:sz w:val="28"/>
                            <w:szCs w:val="28"/>
                          </w:rPr>
                          <w:t>符合资产定义和资产确认条件的项目，应当列入资产负债表。</w:t>
                        </w:r>
                      </w:p>
                      <w:p w:rsidR="009472CC" w:rsidRPr="00254F99" w:rsidRDefault="009472CC" w:rsidP="00DB4605">
                        <w:pPr>
                          <w:widowControl/>
                          <w:spacing w:line="360" w:lineRule="auto"/>
                          <w:jc w:val="center"/>
                          <w:rPr>
                            <w:rFonts w:ascii="Arial" w:eastAsia="宋体" w:hAnsi="Arial" w:cs="Arial"/>
                            <w:kern w:val="0"/>
                            <w:sz w:val="28"/>
                            <w:szCs w:val="28"/>
                          </w:rPr>
                        </w:pPr>
                        <w:r w:rsidRPr="00254F99">
                          <w:rPr>
                            <w:rFonts w:ascii="Arial" w:eastAsia="宋体" w:hAnsi="Arial" w:cs="Arial"/>
                            <w:kern w:val="0"/>
                            <w:sz w:val="28"/>
                            <w:szCs w:val="28"/>
                          </w:rPr>
                          <w:t xml:space="preserve">　　第二节</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负</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债</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第三十三条　负债是指政府会计主体过去的经济业务或者事项形成的，预期会导致经济资源流出政府会计主体的现时义务。</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现时义务是指政府会计主体在现行条件下已承担的义务。未来发生的经济业务或者事项形成的义务不属于现时义务，不应当确认为负债。</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第三十四条</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政府会计主体的负债按照流动性，分为流动负债和非流动负债。</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流动负债是指预计在</w:t>
                        </w:r>
                        <w:r w:rsidRPr="00254F99">
                          <w:rPr>
                            <w:rFonts w:ascii="Arial" w:eastAsia="宋体" w:hAnsi="Arial" w:cs="Arial"/>
                            <w:kern w:val="0"/>
                            <w:sz w:val="28"/>
                            <w:szCs w:val="28"/>
                          </w:rPr>
                          <w:t>1</w:t>
                        </w:r>
                        <w:r w:rsidRPr="00254F99">
                          <w:rPr>
                            <w:rFonts w:ascii="Arial" w:eastAsia="宋体" w:hAnsi="Arial" w:cs="Arial"/>
                            <w:kern w:val="0"/>
                            <w:sz w:val="28"/>
                            <w:szCs w:val="28"/>
                          </w:rPr>
                          <w:t>年内（含</w:t>
                        </w:r>
                        <w:r w:rsidRPr="00254F99">
                          <w:rPr>
                            <w:rFonts w:ascii="Arial" w:eastAsia="宋体" w:hAnsi="Arial" w:cs="Arial"/>
                            <w:kern w:val="0"/>
                            <w:sz w:val="28"/>
                            <w:szCs w:val="28"/>
                          </w:rPr>
                          <w:t>1</w:t>
                        </w:r>
                        <w:r w:rsidRPr="00254F99">
                          <w:rPr>
                            <w:rFonts w:ascii="Arial" w:eastAsia="宋体" w:hAnsi="Arial" w:cs="Arial"/>
                            <w:kern w:val="0"/>
                            <w:sz w:val="28"/>
                            <w:szCs w:val="28"/>
                          </w:rPr>
                          <w:t>年）偿还的负债，包括应付及预收款项、应付职工薪酬、应缴款项等。</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非流动负债是指流动负债以外的负债，包括长期应付款、应付政府债券和政府依法担保形成的债务等。</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第三十五条　符合本准则第三十三条规定的负债定义的义务，在同时满足以下条件时，确认为负债：</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（一）履行该义务很可能导致含有服务潜力或者经济利益的经济资源流出政府会计主体；</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（二）该义务的金额能够可靠地计量。</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第三十六条　负债的计量属性主要包括历史成本、现值和公允价值。</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lastRenderedPageBreak/>
                          <w:t xml:space="preserve">　　在历史成本计量下，负债按照因承担现时义务而实际收到的款项或者资产的金额，或者承担现时义务的合同金额，或者按照为偿还负债预期需要支付的现金计量。</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在现值计量下，负债按照预计期限内需要偿还的未来净现金流出量的折现金额计量。</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在公允价值计量下，负债按照市场参与者在计量日发生的有序交易中，转移负债所需支付的价格计量。</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第三十七条</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政府会计主体在对负债进行计量时，一般应当采用历史成本。</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采用现值、公允价值计量的，应当保证所确定的负债金额能够持续、可靠计量。</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第三十八条　符合负债定义和负债确认条件的项目，应当列入资产负债表。</w:t>
                        </w:r>
                      </w:p>
                      <w:p w:rsidR="009472CC" w:rsidRPr="00254F99" w:rsidRDefault="009472CC" w:rsidP="00DB4605">
                        <w:pPr>
                          <w:widowControl/>
                          <w:spacing w:line="360" w:lineRule="auto"/>
                          <w:jc w:val="center"/>
                          <w:rPr>
                            <w:rFonts w:ascii="Arial" w:eastAsia="宋体" w:hAnsi="Arial" w:cs="Arial"/>
                            <w:kern w:val="0"/>
                            <w:sz w:val="28"/>
                            <w:szCs w:val="28"/>
                          </w:rPr>
                        </w:pPr>
                        <w:r w:rsidRPr="00254F99">
                          <w:rPr>
                            <w:rFonts w:ascii="Arial" w:eastAsia="宋体" w:hAnsi="Arial" w:cs="Arial"/>
                            <w:kern w:val="0"/>
                            <w:sz w:val="28"/>
                            <w:szCs w:val="28"/>
                          </w:rPr>
                          <w:t xml:space="preserve">　　第三节</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净资产</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第三十九条</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净资产是指政府会计主体资产扣除负债后的净额。</w:t>
                        </w:r>
                      </w:p>
                      <w:p w:rsidR="00C87780" w:rsidRPr="00254F99" w:rsidRDefault="009472CC" w:rsidP="00DB4605">
                        <w:pPr>
                          <w:widowControl/>
                          <w:spacing w:line="360" w:lineRule="auto"/>
                          <w:ind w:firstLine="480"/>
                          <w:jc w:val="left"/>
                          <w:rPr>
                            <w:rFonts w:ascii="Arial" w:eastAsia="宋体" w:hAnsi="Arial" w:cs="Arial"/>
                            <w:kern w:val="0"/>
                            <w:sz w:val="28"/>
                            <w:szCs w:val="28"/>
                          </w:rPr>
                        </w:pPr>
                        <w:r w:rsidRPr="00254F99">
                          <w:rPr>
                            <w:rFonts w:ascii="Arial" w:eastAsia="宋体" w:hAnsi="Arial" w:cs="Arial"/>
                            <w:kern w:val="0"/>
                            <w:sz w:val="28"/>
                            <w:szCs w:val="28"/>
                          </w:rPr>
                          <w:t>第四十条</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净资产金额取决于资产和负债的计量。</w:t>
                        </w:r>
                      </w:p>
                      <w:p w:rsidR="009472CC" w:rsidRPr="00254F99" w:rsidRDefault="009472CC" w:rsidP="00DB4605">
                        <w:pPr>
                          <w:widowControl/>
                          <w:spacing w:line="360" w:lineRule="auto"/>
                          <w:ind w:firstLine="480"/>
                          <w:jc w:val="left"/>
                          <w:rPr>
                            <w:rFonts w:ascii="Arial" w:eastAsia="宋体" w:hAnsi="Arial" w:cs="Arial"/>
                            <w:kern w:val="0"/>
                            <w:sz w:val="28"/>
                            <w:szCs w:val="28"/>
                          </w:rPr>
                        </w:pPr>
                        <w:r w:rsidRPr="00254F99">
                          <w:rPr>
                            <w:rFonts w:ascii="Arial" w:eastAsia="宋体" w:hAnsi="Arial" w:cs="Arial"/>
                            <w:kern w:val="0"/>
                            <w:sz w:val="28"/>
                            <w:szCs w:val="28"/>
                          </w:rPr>
                          <w:t>第四十一条</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净资产项目应当列入资产负债表。</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w:t>
                        </w:r>
                      </w:p>
                      <w:p w:rsidR="009472CC" w:rsidRPr="00254F99" w:rsidRDefault="009472CC" w:rsidP="00DB4605">
                        <w:pPr>
                          <w:widowControl/>
                          <w:spacing w:line="360" w:lineRule="auto"/>
                          <w:jc w:val="center"/>
                          <w:rPr>
                            <w:rFonts w:ascii="Arial" w:eastAsia="宋体" w:hAnsi="Arial" w:cs="Arial"/>
                            <w:kern w:val="0"/>
                            <w:sz w:val="28"/>
                            <w:szCs w:val="28"/>
                          </w:rPr>
                        </w:pPr>
                        <w:r w:rsidRPr="00254F99">
                          <w:rPr>
                            <w:rFonts w:ascii="Arial" w:eastAsia="宋体" w:hAnsi="Arial" w:cs="Arial"/>
                            <w:kern w:val="0"/>
                            <w:sz w:val="28"/>
                            <w:szCs w:val="28"/>
                          </w:rPr>
                          <w:t xml:space="preserve">　　第四节</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收</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入</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第四十二条　收入是指报告期内导致政府会计主体净资产增加的、含有服务潜力或者经济利益的经济资源的流入。</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第四十三条　收入的确认应当同时满足以下条件：</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（一）与收入相关的含有服务潜力或者经济利益的经济资源很可能流入政府会计主体；</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lastRenderedPageBreak/>
                          <w:t xml:space="preserve">　　（二）含有服务潜力或者经济利益的经济资源流入会导致政府会计主体资产增加或者负债减少；</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（三）流入金额能够可靠地计量。</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第四十四条</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符合收入定义和收入确认条件的项目，应当列入收入费用表。</w:t>
                        </w:r>
                      </w:p>
                      <w:p w:rsidR="009472CC" w:rsidRPr="00254F99" w:rsidRDefault="009472CC" w:rsidP="00DB4605">
                        <w:pPr>
                          <w:widowControl/>
                          <w:spacing w:line="360" w:lineRule="auto"/>
                          <w:jc w:val="center"/>
                          <w:rPr>
                            <w:rFonts w:ascii="Arial" w:eastAsia="宋体" w:hAnsi="Arial" w:cs="Arial"/>
                            <w:kern w:val="0"/>
                            <w:sz w:val="28"/>
                            <w:szCs w:val="28"/>
                          </w:rPr>
                        </w:pPr>
                        <w:r w:rsidRPr="00254F99">
                          <w:rPr>
                            <w:rFonts w:ascii="Arial" w:eastAsia="宋体" w:hAnsi="Arial" w:cs="Arial"/>
                            <w:kern w:val="0"/>
                            <w:sz w:val="28"/>
                            <w:szCs w:val="28"/>
                          </w:rPr>
                          <w:t xml:space="preserve">　　第五节</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费</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用</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第四十五条</w:t>
                        </w:r>
                        <w:r w:rsidRPr="00254F99">
                          <w:rPr>
                            <w:rFonts w:ascii="Arial" w:eastAsia="宋体" w:hAnsi="Arial" w:cs="Arial"/>
                            <w:kern w:val="0"/>
                            <w:sz w:val="28"/>
                            <w:szCs w:val="28"/>
                          </w:rPr>
                          <w:t> </w:t>
                        </w:r>
                        <w:r w:rsidRPr="00254F99">
                          <w:rPr>
                            <w:rFonts w:ascii="Arial" w:eastAsia="宋体" w:hAnsi="Arial" w:cs="Arial"/>
                            <w:kern w:val="0"/>
                            <w:sz w:val="28"/>
                            <w:szCs w:val="28"/>
                          </w:rPr>
                          <w:t>费用是指报告期内导致政府会计主体净资产减少的、含有服务潜力或者经济利益的经济资源的流出。</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第四十六条</w:t>
                        </w:r>
                        <w:r w:rsidRPr="00254F99">
                          <w:rPr>
                            <w:rFonts w:ascii="Arial" w:eastAsia="宋体" w:hAnsi="Arial" w:cs="Arial"/>
                            <w:kern w:val="0"/>
                            <w:sz w:val="28"/>
                            <w:szCs w:val="28"/>
                          </w:rPr>
                          <w:t> </w:t>
                        </w:r>
                        <w:r w:rsidRPr="00254F99">
                          <w:rPr>
                            <w:rFonts w:ascii="Arial" w:eastAsia="宋体" w:hAnsi="Arial" w:cs="Arial"/>
                            <w:kern w:val="0"/>
                            <w:sz w:val="28"/>
                            <w:szCs w:val="28"/>
                          </w:rPr>
                          <w:t>费用的确认应当同时满足以下条件：</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（一）与费用相关的含有服务潜力或者经济利益的经济资源很可能流出政府会计主体；</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（二）含有服务潜力或者经济利益的经济资源流出会导致政府会计主体资产减少或者负债增加；</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（三）流出金额能够可靠地计量。</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第四十七条</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符合费用定义和费用确认条件的项目，应当列入收入费用表。</w:t>
                        </w:r>
                        <w:r w:rsidR="00C87780" w:rsidRPr="00254F99">
                          <w:rPr>
                            <w:rFonts w:ascii="Arial" w:eastAsia="宋体" w:hAnsi="Arial" w:cs="Arial" w:hint="eastAsia"/>
                            <w:kern w:val="0"/>
                            <w:sz w:val="28"/>
                            <w:szCs w:val="28"/>
                          </w:rPr>
                          <w:t>（两者同时具备）</w:t>
                        </w:r>
                        <w:r w:rsidRPr="00254F99">
                          <w:rPr>
                            <w:rFonts w:ascii="Arial" w:eastAsia="宋体" w:hAnsi="Arial" w:cs="Arial"/>
                            <w:kern w:val="0"/>
                            <w:sz w:val="28"/>
                            <w:szCs w:val="28"/>
                          </w:rPr>
                          <w:t xml:space="preserve"> </w:t>
                        </w:r>
                      </w:p>
                      <w:p w:rsidR="009472CC" w:rsidRPr="00254F99" w:rsidRDefault="009472CC" w:rsidP="00DB4605">
                        <w:pPr>
                          <w:widowControl/>
                          <w:spacing w:line="360" w:lineRule="auto"/>
                          <w:jc w:val="center"/>
                          <w:rPr>
                            <w:rFonts w:ascii="Arial" w:eastAsia="宋体" w:hAnsi="Arial" w:cs="Arial"/>
                            <w:kern w:val="0"/>
                            <w:sz w:val="28"/>
                            <w:szCs w:val="28"/>
                          </w:rPr>
                        </w:pPr>
                        <w:r w:rsidRPr="00254F99">
                          <w:rPr>
                            <w:rFonts w:ascii="Arial" w:eastAsia="宋体" w:hAnsi="Arial" w:cs="Arial"/>
                            <w:kern w:val="0"/>
                            <w:sz w:val="28"/>
                            <w:szCs w:val="28"/>
                          </w:rPr>
                          <w:t xml:space="preserve">　　第五章　政府决算报告和财务报告</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第四十八条</w:t>
                        </w:r>
                        <w:r w:rsidRPr="00254F99">
                          <w:rPr>
                            <w:rFonts w:ascii="Arial" w:eastAsia="宋体" w:hAnsi="Arial" w:cs="Arial"/>
                            <w:kern w:val="0"/>
                            <w:sz w:val="28"/>
                            <w:szCs w:val="28"/>
                          </w:rPr>
                          <w:t> </w:t>
                        </w:r>
                        <w:r w:rsidRPr="00254F99">
                          <w:rPr>
                            <w:rFonts w:ascii="Arial" w:eastAsia="宋体" w:hAnsi="Arial" w:cs="Arial"/>
                            <w:kern w:val="0"/>
                            <w:sz w:val="28"/>
                            <w:szCs w:val="28"/>
                          </w:rPr>
                          <w:t>政府决算报告是综合反映政府会计主体年度预算收支执行结果的文件。</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政府决算报告应当包括决算报表和其他应当在决算报告中反映的相关信息和资料。</w:t>
                        </w:r>
                        <w:r w:rsidR="00C87780" w:rsidRPr="00254F99">
                          <w:rPr>
                            <w:rFonts w:ascii="Arial" w:eastAsia="宋体" w:hAnsi="Arial" w:cs="Arial" w:hint="eastAsia"/>
                            <w:kern w:val="0"/>
                            <w:sz w:val="28"/>
                            <w:szCs w:val="28"/>
                          </w:rPr>
                          <w:t>（两项内容）</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政府决算报告的具体内容及编制要求等，由财政部另行规定。</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第四十九条</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政府财务报告是反映政府会计主体某一特定日期的财务状况和某一会计期间的运行情况和现金流量等信息的文件。</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lastRenderedPageBreak/>
                          <w:t xml:space="preserve">　　政府财务报告应当包括财务报表和其他应当在财务报告中披露的相关信息和资料。</w:t>
                        </w:r>
                        <w:r w:rsidR="00C87780" w:rsidRPr="00254F99">
                          <w:rPr>
                            <w:rFonts w:ascii="Arial" w:eastAsia="宋体" w:hAnsi="Arial" w:cs="Arial" w:hint="eastAsia"/>
                            <w:kern w:val="0"/>
                            <w:sz w:val="28"/>
                            <w:szCs w:val="28"/>
                          </w:rPr>
                          <w:t>（两项内容）</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第五十条</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政府财务报告包括政府综合财务报告和政府部门财务报告。</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政府综合财务报告是指由政府财政部门编制的，反映各级政府整体财务状况、运行情况和财政中长期可持续性的报告。</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政府部门财务报告是指政府各部门、各单位按规定编制的财务报告。</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第五十一条</w:t>
                        </w:r>
                        <w:r w:rsidRPr="00254F99">
                          <w:rPr>
                            <w:rFonts w:ascii="Arial" w:eastAsia="宋体" w:hAnsi="Arial" w:cs="Arial"/>
                            <w:kern w:val="0"/>
                            <w:sz w:val="28"/>
                            <w:szCs w:val="28"/>
                          </w:rPr>
                          <w:t> </w:t>
                        </w:r>
                        <w:r w:rsidRPr="00254F99">
                          <w:rPr>
                            <w:rFonts w:ascii="Arial" w:eastAsia="宋体" w:hAnsi="Arial" w:cs="Arial"/>
                            <w:kern w:val="0"/>
                            <w:sz w:val="28"/>
                            <w:szCs w:val="28"/>
                          </w:rPr>
                          <w:t>财务报表是对政府会计主体财务状况、运行情况和现金流量等信息的结构性表述。</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财务报表包括会计报表和附注。</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会计报表至少应当包括资产负债表、收入费用表和现金流量表。</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政府会计主体应当根据相关规定编制合并财务报表。</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第五十二条　资产负债表是反映政府会计主体在某一特定日期的财务状况的报表。</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第五十三条　收入费用表是反映政府会计主体在一定会计期间运行情况的报表。</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第五十四条　现金流量表是反映政府会计主体在一定会计期间现金及现金等价物流入和流出情况的报表。</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第五十五条　附注是对在资产负债表、收入费用表、现金流量表等报表中列示项目所作的进一步说明，以及对未能在这些报表中列示项目的说明。</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第五十六条</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政府决算报告的编制主要以收付实现制为基础，以预算会计核算生成的数据为准。</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政府财务报告的编制主要以权责发生制为基础，以财务会计核算生成的数据为准。</w:t>
                        </w:r>
                      </w:p>
                      <w:p w:rsidR="009472CC" w:rsidRPr="00254F99" w:rsidRDefault="009472CC" w:rsidP="00DB4605">
                        <w:pPr>
                          <w:widowControl/>
                          <w:spacing w:line="360" w:lineRule="auto"/>
                          <w:jc w:val="center"/>
                          <w:rPr>
                            <w:rFonts w:ascii="Arial" w:eastAsia="宋体" w:hAnsi="Arial" w:cs="Arial"/>
                            <w:kern w:val="0"/>
                            <w:sz w:val="28"/>
                            <w:szCs w:val="28"/>
                          </w:rPr>
                        </w:pPr>
                        <w:r w:rsidRPr="00254F99">
                          <w:rPr>
                            <w:rFonts w:ascii="Arial" w:eastAsia="宋体" w:hAnsi="Arial" w:cs="Arial"/>
                            <w:kern w:val="0"/>
                            <w:sz w:val="28"/>
                            <w:szCs w:val="28"/>
                          </w:rPr>
                          <w:lastRenderedPageBreak/>
                          <w:t xml:space="preserve">　　第六章　附</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则</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第五十七条</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本准则所称会计核算，包括会计确认、计量、记录和报告各个环节，涵盖填制会计凭证、登记会计账簿、编制报告全过程。</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第五十八条</w:t>
                        </w:r>
                        <w:r w:rsidRPr="00254F99">
                          <w:rPr>
                            <w:rFonts w:ascii="Arial" w:eastAsia="宋体" w:hAnsi="Arial" w:cs="Arial"/>
                            <w:kern w:val="0"/>
                            <w:sz w:val="28"/>
                            <w:szCs w:val="28"/>
                          </w:rPr>
                          <w:t> </w:t>
                        </w:r>
                        <w:r w:rsidRPr="00254F99">
                          <w:rPr>
                            <w:rFonts w:ascii="Arial" w:eastAsia="宋体" w:hAnsi="Arial" w:cs="Arial"/>
                            <w:kern w:val="0"/>
                            <w:sz w:val="28"/>
                            <w:szCs w:val="28"/>
                          </w:rPr>
                          <w:t>本准则所称预算会计，是指以收付实现制为基础对政府会计主体预算执行过程中发生的全部收入和全部支出进行会计核算，主要反映和监督预算收支执行情况的会计。</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第五十九条</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本准则所称财务会计，是指以权责发生制为基础对政府会计主体发生的各项经济业务或者事项进行会计核算，主要反映和监督政府会计主体财务状况、运行情况和现金流量等的会计。</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第六十条</w:t>
                        </w:r>
                        <w:r w:rsidRPr="00254F99">
                          <w:rPr>
                            <w:rFonts w:ascii="Arial" w:eastAsia="宋体" w:hAnsi="Arial" w:cs="Arial"/>
                            <w:kern w:val="0"/>
                            <w:sz w:val="28"/>
                            <w:szCs w:val="28"/>
                          </w:rPr>
                          <w:t xml:space="preserve">  </w:t>
                        </w:r>
                        <w:r w:rsidRPr="00254F99">
                          <w:rPr>
                            <w:rFonts w:ascii="Arial" w:eastAsia="宋体" w:hAnsi="Arial" w:cs="Arial"/>
                            <w:kern w:val="0"/>
                            <w:sz w:val="28"/>
                            <w:szCs w:val="28"/>
                          </w:rPr>
                          <w:t>本准则所称收付实现制，是指以现金的实际收付为标志来确定本期收入和支出的会计核算基础。凡在当期实际收到的现金收入和支出，均应作为当期的收入和支出；凡是不属于当期的现金收入和支出，均不应当作为当期的收入和支出。</w:t>
                        </w:r>
                        <w:r w:rsidRPr="00254F99">
                          <w:rPr>
                            <w:rFonts w:ascii="Arial" w:eastAsia="宋体" w:hAnsi="Arial" w:cs="Arial"/>
                            <w:kern w:val="0"/>
                            <w:sz w:val="28"/>
                            <w:szCs w:val="28"/>
                          </w:rPr>
                          <w:t xml:space="preserve"> </w:t>
                        </w:r>
                      </w:p>
                      <w:p w:rsidR="009472CC" w:rsidRPr="00254F99"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第六十一条</w:t>
                        </w:r>
                        <w:r w:rsidRPr="00254F99">
                          <w:rPr>
                            <w:rFonts w:ascii="Arial" w:eastAsia="宋体" w:hAnsi="Arial" w:cs="Arial"/>
                            <w:kern w:val="0"/>
                            <w:sz w:val="28"/>
                            <w:szCs w:val="28"/>
                          </w:rPr>
                          <w:t> </w:t>
                        </w:r>
                        <w:r w:rsidRPr="00254F99">
                          <w:rPr>
                            <w:rFonts w:ascii="Arial" w:eastAsia="宋体" w:hAnsi="Arial" w:cs="Arial"/>
                            <w:kern w:val="0"/>
                            <w:sz w:val="28"/>
                            <w:szCs w:val="28"/>
                          </w:rPr>
                          <w:t>本准则所称权责发生制，是指以取得收取款项的权利或支付款项的义务为标志来确定本期</w:t>
                        </w:r>
                        <w:hyperlink r:id="rId6" w:tgtFrame="_blank" w:history="1">
                          <w:r w:rsidRPr="00254F99">
                            <w:rPr>
                              <w:rFonts w:ascii="Arial" w:eastAsia="宋体" w:hAnsi="Arial" w:cs="Arial"/>
                              <w:kern w:val="0"/>
                              <w:sz w:val="28"/>
                              <w:szCs w:val="28"/>
                            </w:rPr>
                            <w:t>收入</w:t>
                          </w:r>
                        </w:hyperlink>
                        <w:r w:rsidRPr="00254F99">
                          <w:rPr>
                            <w:rFonts w:ascii="Arial" w:eastAsia="宋体" w:hAnsi="Arial" w:cs="Arial"/>
                            <w:kern w:val="0"/>
                            <w:sz w:val="28"/>
                            <w:szCs w:val="28"/>
                          </w:rPr>
                          <w:t>和费用的会计</w:t>
                        </w:r>
                        <w:bookmarkStart w:id="0" w:name="_GoBack"/>
                        <w:bookmarkEnd w:id="0"/>
                        <w:r w:rsidRPr="00254F99">
                          <w:rPr>
                            <w:rFonts w:ascii="Arial" w:eastAsia="宋体" w:hAnsi="Arial" w:cs="Arial"/>
                            <w:kern w:val="0"/>
                            <w:sz w:val="28"/>
                            <w:szCs w:val="28"/>
                          </w:rPr>
                          <w:t>核算基础。凡是当期已经实现的收入和已经发生的或应当负担的费用，不论款项是否收付，都应当作为当期的收入和费用；凡是不属于当期的收入和费用，即使款项已在当期收付，也不应当作为当期的收入和费用。</w:t>
                        </w:r>
                      </w:p>
                      <w:p w:rsidR="009472CC" w:rsidRPr="00DB4605" w:rsidRDefault="009472CC" w:rsidP="00DB4605">
                        <w:pPr>
                          <w:widowControl/>
                          <w:spacing w:line="360" w:lineRule="auto"/>
                          <w:jc w:val="left"/>
                          <w:rPr>
                            <w:rFonts w:ascii="Arial" w:eastAsia="宋体" w:hAnsi="Arial" w:cs="Arial"/>
                            <w:kern w:val="0"/>
                            <w:sz w:val="28"/>
                            <w:szCs w:val="28"/>
                          </w:rPr>
                        </w:pPr>
                        <w:r w:rsidRPr="00254F99">
                          <w:rPr>
                            <w:rFonts w:ascii="Arial" w:eastAsia="宋体" w:hAnsi="Arial" w:cs="Arial"/>
                            <w:kern w:val="0"/>
                            <w:sz w:val="28"/>
                            <w:szCs w:val="28"/>
                          </w:rPr>
                          <w:t xml:space="preserve">　　第六十二条　本准则自</w:t>
                        </w:r>
                        <w:r w:rsidRPr="00254F99">
                          <w:rPr>
                            <w:rFonts w:ascii="Arial" w:eastAsia="宋体" w:hAnsi="Arial" w:cs="Arial"/>
                            <w:kern w:val="0"/>
                            <w:sz w:val="28"/>
                            <w:szCs w:val="28"/>
                          </w:rPr>
                          <w:t>2017</w:t>
                        </w:r>
                        <w:r w:rsidRPr="00254F99">
                          <w:rPr>
                            <w:rFonts w:ascii="Arial" w:eastAsia="宋体" w:hAnsi="Arial" w:cs="Arial"/>
                            <w:kern w:val="0"/>
                            <w:sz w:val="28"/>
                            <w:szCs w:val="28"/>
                          </w:rPr>
                          <w:t>年</w:t>
                        </w:r>
                        <w:r w:rsidRPr="00254F99">
                          <w:rPr>
                            <w:rFonts w:ascii="Arial" w:eastAsia="宋体" w:hAnsi="Arial" w:cs="Arial"/>
                            <w:kern w:val="0"/>
                            <w:sz w:val="28"/>
                            <w:szCs w:val="28"/>
                          </w:rPr>
                          <w:t>1</w:t>
                        </w:r>
                        <w:r w:rsidRPr="00254F99">
                          <w:rPr>
                            <w:rFonts w:ascii="Arial" w:eastAsia="宋体" w:hAnsi="Arial" w:cs="Arial"/>
                            <w:kern w:val="0"/>
                            <w:sz w:val="28"/>
                            <w:szCs w:val="28"/>
                          </w:rPr>
                          <w:t>月</w:t>
                        </w:r>
                        <w:r w:rsidRPr="00254F99">
                          <w:rPr>
                            <w:rFonts w:ascii="Arial" w:eastAsia="宋体" w:hAnsi="Arial" w:cs="Arial"/>
                            <w:kern w:val="0"/>
                            <w:sz w:val="28"/>
                            <w:szCs w:val="28"/>
                          </w:rPr>
                          <w:t>1</w:t>
                        </w:r>
                        <w:r w:rsidRPr="00254F99">
                          <w:rPr>
                            <w:rFonts w:ascii="Arial" w:eastAsia="宋体" w:hAnsi="Arial" w:cs="Arial"/>
                            <w:kern w:val="0"/>
                            <w:sz w:val="28"/>
                            <w:szCs w:val="28"/>
                          </w:rPr>
                          <w:t>日起施行。</w:t>
                        </w:r>
                      </w:p>
                    </w:tc>
                  </w:tr>
                </w:tbl>
                <w:p w:rsidR="009472CC" w:rsidRPr="00DB4605" w:rsidRDefault="009472CC" w:rsidP="00DB4605">
                  <w:pPr>
                    <w:widowControl/>
                    <w:spacing w:line="360" w:lineRule="auto"/>
                    <w:jc w:val="center"/>
                    <w:rPr>
                      <w:rFonts w:ascii="Arial" w:eastAsia="宋体" w:hAnsi="Arial" w:cs="Arial"/>
                      <w:kern w:val="0"/>
                      <w:sz w:val="28"/>
                      <w:szCs w:val="28"/>
                    </w:rPr>
                  </w:pPr>
                </w:p>
              </w:tc>
            </w:tr>
          </w:tbl>
          <w:p w:rsidR="009472CC" w:rsidRPr="00DB4605" w:rsidRDefault="009472CC" w:rsidP="00DB4605">
            <w:pPr>
              <w:widowControl/>
              <w:spacing w:line="360" w:lineRule="auto"/>
              <w:jc w:val="left"/>
              <w:rPr>
                <w:rFonts w:ascii="Arial" w:eastAsia="宋体" w:hAnsi="Arial" w:cs="Arial"/>
                <w:kern w:val="0"/>
                <w:sz w:val="28"/>
                <w:szCs w:val="28"/>
              </w:rPr>
            </w:pPr>
          </w:p>
        </w:tc>
      </w:tr>
    </w:tbl>
    <w:p w:rsidR="00856883" w:rsidRPr="00DB4605" w:rsidRDefault="00856883" w:rsidP="00DB4605">
      <w:pPr>
        <w:spacing w:line="360" w:lineRule="auto"/>
        <w:rPr>
          <w:sz w:val="28"/>
          <w:szCs w:val="28"/>
        </w:rPr>
      </w:pPr>
    </w:p>
    <w:sectPr w:rsidR="00856883" w:rsidRPr="00DB4605" w:rsidSect="00324740">
      <w:footerReference w:type="default" r:id="rId7"/>
      <w:pgSz w:w="11906" w:h="16838"/>
      <w:pgMar w:top="454" w:right="454" w:bottom="454" w:left="45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209" w:rsidRDefault="00141209" w:rsidP="00195EB2">
      <w:r>
        <w:separator/>
      </w:r>
    </w:p>
  </w:endnote>
  <w:endnote w:type="continuationSeparator" w:id="0">
    <w:p w:rsidR="00141209" w:rsidRDefault="00141209" w:rsidP="0019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904720"/>
      <w:docPartObj>
        <w:docPartGallery w:val="Page Numbers (Bottom of Page)"/>
        <w:docPartUnique/>
      </w:docPartObj>
    </w:sdtPr>
    <w:sdtEndPr/>
    <w:sdtContent>
      <w:p w:rsidR="00324740" w:rsidRDefault="00324740">
        <w:pPr>
          <w:pStyle w:val="a5"/>
          <w:jc w:val="center"/>
        </w:pPr>
        <w:r>
          <w:fldChar w:fldCharType="begin"/>
        </w:r>
        <w:r>
          <w:instrText>PAGE   \* MERGEFORMAT</w:instrText>
        </w:r>
        <w:r>
          <w:fldChar w:fldCharType="separate"/>
        </w:r>
        <w:r w:rsidR="00254F99" w:rsidRPr="00254F99">
          <w:rPr>
            <w:noProof/>
            <w:lang w:val="zh-CN"/>
          </w:rPr>
          <w:t>1</w:t>
        </w:r>
        <w:r>
          <w:fldChar w:fldCharType="end"/>
        </w:r>
      </w:p>
    </w:sdtContent>
  </w:sdt>
  <w:p w:rsidR="00324740" w:rsidRDefault="003247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209" w:rsidRDefault="00141209" w:rsidP="00195EB2">
      <w:r>
        <w:separator/>
      </w:r>
    </w:p>
  </w:footnote>
  <w:footnote w:type="continuationSeparator" w:id="0">
    <w:p w:rsidR="00141209" w:rsidRDefault="00141209" w:rsidP="00195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2CC"/>
    <w:rsid w:val="00141209"/>
    <w:rsid w:val="00176157"/>
    <w:rsid w:val="00195EB2"/>
    <w:rsid w:val="001D7506"/>
    <w:rsid w:val="00254F99"/>
    <w:rsid w:val="002E4B29"/>
    <w:rsid w:val="00324740"/>
    <w:rsid w:val="003800D6"/>
    <w:rsid w:val="003F51C7"/>
    <w:rsid w:val="004D0A3D"/>
    <w:rsid w:val="004F18CB"/>
    <w:rsid w:val="00554F85"/>
    <w:rsid w:val="006E3F26"/>
    <w:rsid w:val="007A3B69"/>
    <w:rsid w:val="00856883"/>
    <w:rsid w:val="009472CC"/>
    <w:rsid w:val="00A5061B"/>
    <w:rsid w:val="00BC4695"/>
    <w:rsid w:val="00C87780"/>
    <w:rsid w:val="00D745AB"/>
    <w:rsid w:val="00DA0159"/>
    <w:rsid w:val="00DB4605"/>
    <w:rsid w:val="00DE407A"/>
    <w:rsid w:val="00E36092"/>
    <w:rsid w:val="00E96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CF3858-1042-42E7-B339-2EF605BB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E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5EB2"/>
    <w:rPr>
      <w:sz w:val="18"/>
      <w:szCs w:val="18"/>
    </w:rPr>
  </w:style>
  <w:style w:type="paragraph" w:styleId="a5">
    <w:name w:val="footer"/>
    <w:basedOn w:val="a"/>
    <w:link w:val="a6"/>
    <w:uiPriority w:val="99"/>
    <w:unhideWhenUsed/>
    <w:rsid w:val="00195EB2"/>
    <w:pPr>
      <w:tabs>
        <w:tab w:val="center" w:pos="4153"/>
        <w:tab w:val="right" w:pos="8306"/>
      </w:tabs>
      <w:snapToGrid w:val="0"/>
      <w:jc w:val="left"/>
    </w:pPr>
    <w:rPr>
      <w:sz w:val="18"/>
      <w:szCs w:val="18"/>
    </w:rPr>
  </w:style>
  <w:style w:type="character" w:customStyle="1" w:styleId="a6">
    <w:name w:val="页脚 字符"/>
    <w:basedOn w:val="a0"/>
    <w:link w:val="a5"/>
    <w:uiPriority w:val="99"/>
    <w:rsid w:val="00195E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78418">
      <w:bodyDiv w:val="1"/>
      <w:marLeft w:val="0"/>
      <w:marRight w:val="0"/>
      <w:marTop w:val="0"/>
      <w:marBottom w:val="0"/>
      <w:divBdr>
        <w:top w:val="none" w:sz="0" w:space="0" w:color="auto"/>
        <w:left w:val="none" w:sz="0" w:space="0" w:color="auto"/>
        <w:bottom w:val="none" w:sz="0" w:space="0" w:color="auto"/>
        <w:right w:val="none" w:sz="0" w:space="0" w:color="auto"/>
      </w:divBdr>
      <w:divsChild>
        <w:div w:id="1772238901">
          <w:marLeft w:val="0"/>
          <w:marRight w:val="0"/>
          <w:marTop w:val="0"/>
          <w:marBottom w:val="0"/>
          <w:divBdr>
            <w:top w:val="none" w:sz="0" w:space="0" w:color="auto"/>
            <w:left w:val="none" w:sz="0" w:space="0" w:color="auto"/>
            <w:bottom w:val="none" w:sz="0" w:space="0" w:color="auto"/>
            <w:right w:val="none" w:sz="0" w:space="0" w:color="auto"/>
          </w:divBdr>
          <w:divsChild>
            <w:div w:id="2941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604597.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10</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dc:creator>
  <cp:lastModifiedBy>陈苾</cp:lastModifiedBy>
  <cp:revision>23</cp:revision>
  <dcterms:created xsi:type="dcterms:W3CDTF">2015-11-03T01:03:00Z</dcterms:created>
  <dcterms:modified xsi:type="dcterms:W3CDTF">2018-04-10T03:26:00Z</dcterms:modified>
</cp:coreProperties>
</file>